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BD" w:rsidRPr="002D2FBD" w:rsidRDefault="002D2FBD" w:rsidP="002D2FBD">
      <w:pPr>
        <w:tabs>
          <w:tab w:val="left" w:pos="993"/>
        </w:tabs>
        <w:spacing w:line="240" w:lineRule="auto"/>
        <w:jc w:val="center"/>
        <w:rPr>
          <w:rFonts w:ascii="Arial" w:hAnsi="Arial" w:cs="Arial"/>
          <w:b/>
          <w:sz w:val="24"/>
          <w:szCs w:val="24"/>
        </w:rPr>
      </w:pPr>
      <w:r w:rsidRPr="002D2FBD">
        <w:rPr>
          <w:rFonts w:ascii="Arial" w:hAnsi="Arial" w:cs="Arial"/>
          <w:b/>
          <w:noProof/>
          <w:sz w:val="24"/>
          <w:szCs w:val="24"/>
        </w:rPr>
        <w:drawing>
          <wp:inline distT="0" distB="0" distL="0" distR="0">
            <wp:extent cx="1198880" cy="1328420"/>
            <wp:effectExtent l="19050" t="0" r="1270" b="0"/>
            <wp:docPr id="1" name="Picture 1" descr="D:\04.30\SEH-nii shiidver\Soy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4.30\SEH-nii shiidver\Soyombo.JPG"/>
                    <pic:cNvPicPr>
                      <a:picLocks noChangeAspect="1" noChangeArrowheads="1"/>
                    </pic:cNvPicPr>
                  </pic:nvPicPr>
                  <pic:blipFill>
                    <a:blip r:embed="rId6"/>
                    <a:srcRect/>
                    <a:stretch>
                      <a:fillRect/>
                    </a:stretch>
                  </pic:blipFill>
                  <pic:spPr bwMode="auto">
                    <a:xfrm>
                      <a:off x="0" y="0"/>
                      <a:ext cx="1198880" cy="1328420"/>
                    </a:xfrm>
                    <a:prstGeom prst="rect">
                      <a:avLst/>
                    </a:prstGeom>
                    <a:noFill/>
                    <a:ln w="9525">
                      <a:noFill/>
                      <a:miter lim="800000"/>
                      <a:headEnd/>
                      <a:tailEnd/>
                    </a:ln>
                  </pic:spPr>
                </pic:pic>
              </a:graphicData>
            </a:graphic>
          </wp:inline>
        </w:drawing>
      </w:r>
    </w:p>
    <w:p w:rsidR="002D2FBD" w:rsidRPr="002D2FBD" w:rsidRDefault="002D2FBD" w:rsidP="002D2FBD">
      <w:pPr>
        <w:tabs>
          <w:tab w:val="left" w:pos="993"/>
        </w:tabs>
        <w:spacing w:line="240" w:lineRule="auto"/>
        <w:jc w:val="center"/>
        <w:rPr>
          <w:rFonts w:ascii="Arial" w:hAnsi="Arial" w:cs="Arial"/>
          <w:b/>
          <w:sz w:val="24"/>
          <w:szCs w:val="24"/>
          <w:lang w:val="mn-MN"/>
        </w:rPr>
      </w:pPr>
      <w:r w:rsidRPr="002D2FBD">
        <w:rPr>
          <w:rFonts w:ascii="Arial" w:hAnsi="Arial" w:cs="Arial"/>
          <w:b/>
          <w:sz w:val="24"/>
          <w:szCs w:val="24"/>
          <w:lang w:val="mn-MN"/>
        </w:rPr>
        <w:t>МОНГОЛ УЛСЫН</w:t>
      </w:r>
    </w:p>
    <w:p w:rsidR="002D2FBD" w:rsidRPr="002D2FBD" w:rsidRDefault="002D2FBD" w:rsidP="002D2FBD">
      <w:pPr>
        <w:tabs>
          <w:tab w:val="left" w:pos="993"/>
        </w:tabs>
        <w:spacing w:line="240" w:lineRule="auto"/>
        <w:jc w:val="center"/>
        <w:rPr>
          <w:rFonts w:ascii="Arial" w:hAnsi="Arial" w:cs="Arial"/>
          <w:b/>
          <w:bCs/>
          <w:sz w:val="24"/>
          <w:szCs w:val="24"/>
          <w:lang w:val="mn-MN"/>
        </w:rPr>
      </w:pPr>
      <w:r w:rsidRPr="002D2FBD">
        <w:rPr>
          <w:rFonts w:ascii="Arial" w:hAnsi="Arial" w:cs="Arial"/>
          <w:b/>
          <w:bCs/>
          <w:sz w:val="24"/>
          <w:szCs w:val="24"/>
          <w:lang w:val="mn-MN"/>
        </w:rPr>
        <w:t xml:space="preserve">СОНГУУЛИЙН ЕРӨНХИЙ ХОРООНЫ </w:t>
      </w:r>
    </w:p>
    <w:p w:rsidR="002D2FBD" w:rsidRPr="002D2FBD" w:rsidRDefault="002D2FBD" w:rsidP="002D2FBD">
      <w:pPr>
        <w:tabs>
          <w:tab w:val="left" w:pos="993"/>
        </w:tabs>
        <w:spacing w:line="240" w:lineRule="auto"/>
        <w:jc w:val="center"/>
        <w:rPr>
          <w:rFonts w:ascii="Arial" w:hAnsi="Arial" w:cs="Arial"/>
          <w:b/>
          <w:bCs/>
          <w:sz w:val="24"/>
          <w:szCs w:val="24"/>
          <w:lang w:val="mn-MN"/>
        </w:rPr>
      </w:pPr>
      <w:r w:rsidRPr="002D2FBD">
        <w:rPr>
          <w:rFonts w:ascii="Arial" w:hAnsi="Arial" w:cs="Arial"/>
          <w:b/>
          <w:bCs/>
          <w:sz w:val="24"/>
          <w:szCs w:val="24"/>
          <w:lang w:val="mn-MN"/>
        </w:rPr>
        <w:t>ТОГТООЛ</w:t>
      </w:r>
    </w:p>
    <w:p w:rsidR="002D2FBD" w:rsidRPr="002D2FBD" w:rsidRDefault="002D2FBD" w:rsidP="002D2FBD">
      <w:pPr>
        <w:tabs>
          <w:tab w:val="left" w:pos="993"/>
        </w:tabs>
        <w:spacing w:line="240" w:lineRule="auto"/>
        <w:jc w:val="center"/>
        <w:rPr>
          <w:rFonts w:ascii="Arial" w:hAnsi="Arial" w:cs="Arial"/>
          <w:bCs/>
          <w:sz w:val="24"/>
          <w:szCs w:val="24"/>
          <w:lang w:val="mn-MN"/>
        </w:rPr>
      </w:pPr>
    </w:p>
    <w:p w:rsidR="002D2FBD" w:rsidRPr="002D2FBD" w:rsidRDefault="002D2FBD" w:rsidP="002D2FBD">
      <w:pPr>
        <w:tabs>
          <w:tab w:val="left" w:pos="993"/>
        </w:tabs>
        <w:spacing w:line="240" w:lineRule="auto"/>
        <w:jc w:val="center"/>
        <w:rPr>
          <w:rFonts w:ascii="Arial" w:hAnsi="Arial" w:cs="Arial"/>
          <w:bCs/>
          <w:sz w:val="24"/>
          <w:szCs w:val="24"/>
          <w:lang w:val="mn-MN"/>
        </w:rPr>
      </w:pPr>
    </w:p>
    <w:p w:rsidR="002D2FBD" w:rsidRPr="002D2FBD" w:rsidRDefault="002D2FBD" w:rsidP="002D2FBD">
      <w:pPr>
        <w:tabs>
          <w:tab w:val="left" w:pos="993"/>
        </w:tabs>
        <w:spacing w:line="240" w:lineRule="auto"/>
        <w:rPr>
          <w:rFonts w:ascii="Arial" w:hAnsi="Arial" w:cs="Arial"/>
          <w:bCs/>
          <w:sz w:val="24"/>
          <w:szCs w:val="24"/>
          <w:lang w:val="mn-MN"/>
        </w:rPr>
      </w:pPr>
      <w:r w:rsidRPr="002D2FBD">
        <w:rPr>
          <w:rFonts w:ascii="Arial" w:hAnsi="Arial" w:cs="Arial"/>
          <w:bCs/>
          <w:sz w:val="24"/>
          <w:szCs w:val="24"/>
          <w:lang w:val="mn-MN"/>
        </w:rPr>
        <w:t>2012 оны 5 дугаар </w:t>
      </w:r>
      <w:r w:rsidRPr="002D2FBD">
        <w:rPr>
          <w:rFonts w:ascii="Arial" w:hAnsi="Arial" w:cs="Arial"/>
          <w:bCs/>
          <w:sz w:val="24"/>
          <w:szCs w:val="24"/>
          <w:lang w:val="mn-MN"/>
        </w:rPr>
        <w:tab/>
      </w:r>
      <w:r w:rsidRPr="002D2FBD">
        <w:rPr>
          <w:rFonts w:ascii="Arial" w:hAnsi="Arial" w:cs="Arial"/>
          <w:bCs/>
          <w:sz w:val="24"/>
          <w:szCs w:val="24"/>
          <w:lang w:val="mn-MN"/>
        </w:rPr>
        <w:tab/>
      </w:r>
      <w:r w:rsidRPr="002D2FBD">
        <w:rPr>
          <w:rFonts w:ascii="Arial" w:hAnsi="Arial" w:cs="Arial"/>
          <w:bCs/>
          <w:sz w:val="24"/>
          <w:szCs w:val="24"/>
          <w:lang w:val="mn-MN"/>
        </w:rPr>
        <w:tab/>
      </w:r>
      <w:r w:rsidRPr="002D2FBD">
        <w:rPr>
          <w:rFonts w:ascii="Arial" w:hAnsi="Arial" w:cs="Arial"/>
          <w:bCs/>
          <w:sz w:val="24"/>
          <w:szCs w:val="24"/>
          <w:lang w:val="mn-MN"/>
        </w:rPr>
        <w:tab/>
      </w:r>
      <w:r w:rsidRPr="002D2FBD">
        <w:rPr>
          <w:rFonts w:ascii="Arial" w:hAnsi="Arial" w:cs="Arial"/>
          <w:bCs/>
          <w:sz w:val="24"/>
          <w:szCs w:val="24"/>
          <w:lang w:val="mn-MN"/>
        </w:rPr>
        <w:tab/>
      </w:r>
      <w:r w:rsidRPr="002D2FBD">
        <w:rPr>
          <w:rFonts w:ascii="Arial" w:hAnsi="Arial" w:cs="Arial"/>
          <w:bCs/>
          <w:sz w:val="24"/>
          <w:szCs w:val="24"/>
          <w:lang w:val="mn-MN"/>
        </w:rPr>
        <w:tab/>
      </w:r>
      <w:r w:rsidRPr="002D2FBD">
        <w:rPr>
          <w:rFonts w:ascii="Arial" w:hAnsi="Arial" w:cs="Arial"/>
          <w:bCs/>
          <w:sz w:val="24"/>
          <w:szCs w:val="24"/>
          <w:lang w:val="mn-MN"/>
        </w:rPr>
        <w:tab/>
        <w:t xml:space="preserve">                             Улаанбаатар</w:t>
      </w:r>
    </w:p>
    <w:p w:rsidR="002D2FBD" w:rsidRPr="002D2FBD" w:rsidRDefault="002D2FBD" w:rsidP="002D2FBD">
      <w:pPr>
        <w:tabs>
          <w:tab w:val="left" w:pos="993"/>
        </w:tabs>
        <w:spacing w:line="240" w:lineRule="auto"/>
        <w:rPr>
          <w:rFonts w:ascii="Arial" w:hAnsi="Arial" w:cs="Arial"/>
          <w:bCs/>
          <w:sz w:val="24"/>
          <w:szCs w:val="24"/>
          <w:lang w:val="mn-MN"/>
        </w:rPr>
      </w:pPr>
      <w:r w:rsidRPr="002D2FBD">
        <w:rPr>
          <w:rFonts w:ascii="Arial" w:hAnsi="Arial" w:cs="Arial"/>
          <w:bCs/>
          <w:sz w:val="24"/>
          <w:szCs w:val="24"/>
          <w:lang w:val="mn-MN"/>
        </w:rPr>
        <w:t>сарын 28-ны  өдөр                                 Дугаар 73                                                       хот</w:t>
      </w:r>
    </w:p>
    <w:p w:rsidR="002D2FBD" w:rsidRPr="002D2FBD" w:rsidRDefault="002D2FBD" w:rsidP="002D2FBD">
      <w:pPr>
        <w:spacing w:line="240" w:lineRule="auto"/>
        <w:jc w:val="center"/>
        <w:rPr>
          <w:rFonts w:ascii="Arial" w:hAnsi="Arial" w:cs="Arial"/>
          <w:bCs/>
          <w:sz w:val="24"/>
          <w:szCs w:val="24"/>
          <w:lang w:val="mn-MN"/>
        </w:rPr>
      </w:pPr>
    </w:p>
    <w:p w:rsidR="002D2FBD" w:rsidRPr="002D2FBD" w:rsidRDefault="002D2FBD" w:rsidP="002D2FBD">
      <w:pPr>
        <w:spacing w:line="240" w:lineRule="auto"/>
        <w:jc w:val="center"/>
        <w:rPr>
          <w:rFonts w:ascii="Arial" w:hAnsi="Arial" w:cs="Arial"/>
          <w:bCs/>
          <w:sz w:val="24"/>
          <w:szCs w:val="24"/>
          <w:lang w:val="mn-MN"/>
        </w:rPr>
      </w:pPr>
    </w:p>
    <w:p w:rsidR="002D2FBD" w:rsidRPr="002D2FBD" w:rsidRDefault="002D2FBD" w:rsidP="002D2FBD">
      <w:pPr>
        <w:spacing w:line="240" w:lineRule="auto"/>
        <w:rPr>
          <w:rFonts w:ascii="Arial" w:hAnsi="Arial" w:cs="Arial"/>
          <w:bCs/>
          <w:sz w:val="24"/>
          <w:szCs w:val="24"/>
        </w:rPr>
      </w:pPr>
    </w:p>
    <w:p w:rsidR="002D2FBD" w:rsidRPr="002D2FBD" w:rsidRDefault="002D2FBD" w:rsidP="002D2FBD">
      <w:pPr>
        <w:spacing w:line="240" w:lineRule="auto"/>
        <w:jc w:val="center"/>
        <w:rPr>
          <w:rFonts w:ascii="Arial" w:hAnsi="Arial" w:cs="Arial"/>
          <w:bCs/>
          <w:sz w:val="24"/>
          <w:szCs w:val="24"/>
          <w:lang w:val="mn-MN"/>
        </w:rPr>
      </w:pPr>
    </w:p>
    <w:p w:rsidR="002D2FBD" w:rsidRPr="002D2FBD" w:rsidRDefault="002D2FBD" w:rsidP="002D2FBD">
      <w:pPr>
        <w:spacing w:line="240" w:lineRule="auto"/>
        <w:jc w:val="center"/>
        <w:rPr>
          <w:rFonts w:ascii="Arial" w:hAnsi="Arial" w:cs="Arial"/>
          <w:bCs/>
          <w:sz w:val="24"/>
          <w:szCs w:val="24"/>
          <w:lang w:val="mn-MN"/>
        </w:rPr>
      </w:pPr>
    </w:p>
    <w:p w:rsidR="002D2FBD" w:rsidRPr="002D2FBD" w:rsidRDefault="002D2FBD" w:rsidP="002D2FBD">
      <w:pPr>
        <w:spacing w:line="240" w:lineRule="auto"/>
        <w:jc w:val="center"/>
        <w:rPr>
          <w:rFonts w:ascii="Arial" w:hAnsi="Arial" w:cs="Arial"/>
          <w:bCs/>
          <w:sz w:val="24"/>
          <w:szCs w:val="24"/>
          <w:lang w:val="mn-MN"/>
        </w:rPr>
      </w:pPr>
      <w:r w:rsidRPr="002D2FBD">
        <w:rPr>
          <w:rFonts w:ascii="Arial" w:hAnsi="Arial" w:cs="Arial"/>
          <w:bCs/>
          <w:sz w:val="24"/>
          <w:szCs w:val="24"/>
          <w:lang w:val="mn-MN"/>
        </w:rPr>
        <w:t xml:space="preserve">Мэдээллийн ажиллагааг тасралтгүй явуулах </w:t>
      </w:r>
    </w:p>
    <w:p w:rsidR="002D2FBD" w:rsidRPr="002D2FBD" w:rsidRDefault="002D2FBD" w:rsidP="002D2FBD">
      <w:pPr>
        <w:spacing w:line="240" w:lineRule="auto"/>
        <w:jc w:val="center"/>
        <w:rPr>
          <w:rFonts w:ascii="Arial" w:hAnsi="Arial" w:cs="Arial"/>
          <w:sz w:val="24"/>
          <w:szCs w:val="24"/>
          <w:lang w:val="mn-MN"/>
        </w:rPr>
      </w:pPr>
      <w:r w:rsidRPr="002D2FBD">
        <w:rPr>
          <w:rFonts w:ascii="Arial" w:hAnsi="Arial" w:cs="Arial"/>
          <w:bCs/>
          <w:sz w:val="24"/>
          <w:szCs w:val="24"/>
          <w:lang w:val="mn-MN"/>
        </w:rPr>
        <w:t>нөөц төлөвлөгөө батлах тухай</w:t>
      </w:r>
    </w:p>
    <w:p w:rsidR="002D2FBD" w:rsidRPr="002D2FBD" w:rsidRDefault="002D2FBD" w:rsidP="002D2FBD">
      <w:pPr>
        <w:tabs>
          <w:tab w:val="left" w:pos="567"/>
          <w:tab w:val="left" w:pos="851"/>
        </w:tabs>
        <w:spacing w:line="240" w:lineRule="auto"/>
        <w:jc w:val="center"/>
        <w:rPr>
          <w:rFonts w:ascii="Arial" w:hAnsi="Arial" w:cs="Arial"/>
          <w:sz w:val="24"/>
          <w:szCs w:val="24"/>
          <w:lang w:val="mn-MN"/>
        </w:rPr>
      </w:pPr>
    </w:p>
    <w:p w:rsidR="002D2FBD" w:rsidRPr="002D2FBD" w:rsidRDefault="002D2FBD" w:rsidP="002D2FBD">
      <w:pPr>
        <w:tabs>
          <w:tab w:val="left" w:pos="567"/>
          <w:tab w:val="left" w:pos="851"/>
        </w:tabs>
        <w:spacing w:line="240" w:lineRule="auto"/>
        <w:jc w:val="right"/>
        <w:rPr>
          <w:rFonts w:ascii="Arial" w:hAnsi="Arial" w:cs="Arial"/>
          <w:b/>
          <w:sz w:val="24"/>
          <w:szCs w:val="24"/>
          <w:lang w:val="mn-MN"/>
        </w:rPr>
      </w:pPr>
    </w:p>
    <w:p w:rsidR="002D2FBD" w:rsidRPr="002D2FBD" w:rsidRDefault="002D2FBD" w:rsidP="002D2FBD">
      <w:pPr>
        <w:tabs>
          <w:tab w:val="left" w:pos="567"/>
          <w:tab w:val="left" w:pos="851"/>
        </w:tabs>
        <w:spacing w:line="240" w:lineRule="auto"/>
        <w:jc w:val="right"/>
        <w:rPr>
          <w:rFonts w:ascii="Arial" w:hAnsi="Arial" w:cs="Arial"/>
          <w:b/>
          <w:sz w:val="24"/>
          <w:szCs w:val="24"/>
          <w:lang w:val="mn-MN"/>
        </w:rPr>
      </w:pPr>
    </w:p>
    <w:p w:rsidR="002D2FBD" w:rsidRPr="002D2FBD" w:rsidRDefault="002D2FBD" w:rsidP="002D2FBD">
      <w:pPr>
        <w:tabs>
          <w:tab w:val="left" w:pos="567"/>
          <w:tab w:val="left" w:pos="851"/>
        </w:tabs>
        <w:spacing w:line="240" w:lineRule="auto"/>
        <w:jc w:val="right"/>
        <w:rPr>
          <w:rFonts w:ascii="Arial" w:hAnsi="Arial" w:cs="Arial"/>
          <w:b/>
          <w:sz w:val="24"/>
          <w:szCs w:val="24"/>
          <w:lang w:val="mn-MN"/>
        </w:rPr>
      </w:pPr>
    </w:p>
    <w:p w:rsidR="002D2FBD" w:rsidRPr="002D2FBD" w:rsidRDefault="002D2FBD" w:rsidP="002D2FBD">
      <w:pPr>
        <w:tabs>
          <w:tab w:val="left" w:pos="567"/>
          <w:tab w:val="left" w:pos="851"/>
        </w:tabs>
        <w:rPr>
          <w:rFonts w:ascii="Arial" w:hAnsi="Arial" w:cs="Arial"/>
          <w:sz w:val="24"/>
          <w:szCs w:val="24"/>
          <w:lang w:val="mn-MN"/>
        </w:rPr>
      </w:pPr>
      <w:r w:rsidRPr="002D2FBD">
        <w:rPr>
          <w:rFonts w:ascii="Arial" w:hAnsi="Arial" w:cs="Arial"/>
          <w:sz w:val="24"/>
          <w:szCs w:val="24"/>
          <w:lang w:val="mn-MN"/>
        </w:rPr>
        <w:tab/>
        <w:t xml:space="preserve">Сонгуулийн автоматжуулсан системийн тухай хуулийн 25 дугаар зүйлийн 25.1 дэх хэсэг, Сонгуулийн төв байгууллагын тухай хуулийн 7 дугаар зүйлийн 7.1.7 дахь заалт, 12 дугаар зүйлийн 12.3 дахь хэсгийг тус тус үндэслэн </w:t>
      </w:r>
      <w:r w:rsidRPr="002D2FBD">
        <w:rPr>
          <w:rFonts w:ascii="Arial" w:eastAsia="SimSun" w:hAnsi="Arial" w:cs="Arial"/>
          <w:sz w:val="24"/>
          <w:szCs w:val="24"/>
          <w:lang w:val="mn-MN" w:eastAsia="zh-CN"/>
        </w:rPr>
        <w:t xml:space="preserve">Монгол Улсын Сонгуулийн Ерөнхий Хорооноос </w:t>
      </w:r>
      <w:r w:rsidRPr="002D2FBD">
        <w:rPr>
          <w:rFonts w:ascii="Arial" w:hAnsi="Arial" w:cs="Arial"/>
          <w:sz w:val="24"/>
          <w:szCs w:val="24"/>
          <w:lang w:val="mn-MN"/>
        </w:rPr>
        <w:t>ТОГТООХ нь:</w:t>
      </w:r>
    </w:p>
    <w:p w:rsidR="002D2FBD" w:rsidRPr="002D2FBD" w:rsidRDefault="002D2FBD" w:rsidP="002D2FBD">
      <w:pPr>
        <w:ind w:firstLine="567"/>
        <w:rPr>
          <w:rFonts w:ascii="Arial" w:hAnsi="Arial" w:cs="Arial"/>
          <w:sz w:val="24"/>
          <w:szCs w:val="24"/>
          <w:lang w:val="mn-MN"/>
        </w:rPr>
      </w:pPr>
      <w:r w:rsidRPr="002D2FBD">
        <w:rPr>
          <w:rFonts w:ascii="Arial" w:hAnsi="Arial" w:cs="Arial"/>
          <w:bCs/>
          <w:sz w:val="24"/>
          <w:szCs w:val="24"/>
          <w:lang w:val="mn-MN"/>
        </w:rPr>
        <w:t xml:space="preserve">1. Мэдээллийн ажиллагааг тасралтгүй явуулах нөөц төлөвлөгөөг </w:t>
      </w:r>
      <w:r w:rsidRPr="002D2FBD">
        <w:rPr>
          <w:rFonts w:ascii="Arial" w:hAnsi="Arial" w:cs="Arial"/>
          <w:sz w:val="24"/>
          <w:szCs w:val="24"/>
          <w:lang w:val="mn-MN"/>
        </w:rPr>
        <w:t>хавсралтаар баталсугай.</w:t>
      </w:r>
    </w:p>
    <w:p w:rsidR="002D2FBD" w:rsidRPr="002D2FBD" w:rsidRDefault="002D2FBD" w:rsidP="002D2FBD">
      <w:pPr>
        <w:tabs>
          <w:tab w:val="left" w:pos="567"/>
          <w:tab w:val="left" w:pos="851"/>
        </w:tabs>
        <w:rPr>
          <w:rFonts w:ascii="Arial" w:hAnsi="Arial" w:cs="Arial"/>
          <w:sz w:val="24"/>
          <w:szCs w:val="24"/>
          <w:lang w:val="mn-MN"/>
        </w:rPr>
      </w:pPr>
      <w:r w:rsidRPr="002D2FBD">
        <w:rPr>
          <w:rFonts w:ascii="Arial" w:hAnsi="Arial" w:cs="Arial"/>
          <w:sz w:val="24"/>
          <w:szCs w:val="24"/>
          <w:lang w:val="mn-MN"/>
        </w:rPr>
        <w:tab/>
        <w:t xml:space="preserve">2. Энэхүү төлөвлөгөөг хэсгийн байранд ил тавьж нийтэд мэдээлэхийг хэсгийн хороодод даалгасугай. </w:t>
      </w:r>
    </w:p>
    <w:p w:rsidR="002D2FBD" w:rsidRPr="002D2FBD" w:rsidRDefault="002D2FBD" w:rsidP="002D2FBD">
      <w:pPr>
        <w:tabs>
          <w:tab w:val="left" w:pos="7590"/>
        </w:tabs>
        <w:rPr>
          <w:rFonts w:ascii="Arial" w:hAnsi="Arial" w:cs="Arial"/>
          <w:sz w:val="24"/>
          <w:szCs w:val="24"/>
          <w:lang w:val="mn-MN"/>
        </w:rPr>
      </w:pPr>
      <w:r w:rsidRPr="002D2FBD">
        <w:rPr>
          <w:rFonts w:ascii="Arial" w:hAnsi="Arial" w:cs="Arial"/>
          <w:sz w:val="24"/>
          <w:szCs w:val="24"/>
          <w:lang w:val="mn-MN"/>
        </w:rPr>
        <w:tab/>
      </w:r>
    </w:p>
    <w:p w:rsidR="002D2FBD" w:rsidRPr="002D2FBD" w:rsidRDefault="002D2FBD" w:rsidP="002D2FBD">
      <w:pPr>
        <w:tabs>
          <w:tab w:val="left" w:pos="567"/>
          <w:tab w:val="left" w:pos="851"/>
        </w:tabs>
        <w:spacing w:line="240" w:lineRule="auto"/>
        <w:rPr>
          <w:rFonts w:ascii="Arial" w:hAnsi="Arial" w:cs="Arial"/>
          <w:sz w:val="24"/>
          <w:szCs w:val="24"/>
          <w:lang w:val="mn-MN"/>
        </w:rPr>
      </w:pPr>
      <w:r w:rsidRPr="002D2FBD">
        <w:rPr>
          <w:rFonts w:ascii="Arial" w:hAnsi="Arial" w:cs="Arial"/>
          <w:sz w:val="24"/>
          <w:szCs w:val="24"/>
          <w:lang w:val="mn-MN"/>
        </w:rPr>
        <w:tab/>
      </w:r>
    </w:p>
    <w:p w:rsidR="002D2FBD" w:rsidRPr="002D2FBD" w:rsidRDefault="002D2FBD" w:rsidP="002D2FBD">
      <w:pPr>
        <w:tabs>
          <w:tab w:val="left" w:pos="567"/>
          <w:tab w:val="left" w:pos="851"/>
        </w:tabs>
        <w:spacing w:line="240" w:lineRule="auto"/>
        <w:rPr>
          <w:rFonts w:ascii="Arial" w:hAnsi="Arial" w:cs="Arial"/>
          <w:sz w:val="24"/>
          <w:szCs w:val="24"/>
          <w:lang w:val="mn-MN"/>
        </w:rPr>
      </w:pPr>
    </w:p>
    <w:p w:rsidR="002D2FBD" w:rsidRPr="002D2FBD" w:rsidRDefault="002D2FBD" w:rsidP="002D2FBD">
      <w:pPr>
        <w:tabs>
          <w:tab w:val="left" w:pos="567"/>
          <w:tab w:val="left" w:pos="851"/>
        </w:tabs>
        <w:spacing w:line="240" w:lineRule="auto"/>
        <w:rPr>
          <w:rFonts w:ascii="Arial" w:hAnsi="Arial" w:cs="Arial"/>
          <w:sz w:val="24"/>
          <w:szCs w:val="24"/>
          <w:lang w:val="mn-MN"/>
        </w:rPr>
      </w:pPr>
    </w:p>
    <w:p w:rsidR="002D2FBD" w:rsidRPr="002D2FBD" w:rsidRDefault="002D2FBD" w:rsidP="002D2FBD">
      <w:pPr>
        <w:ind w:left="720" w:firstLine="720"/>
        <w:rPr>
          <w:rFonts w:ascii="Arial" w:hAnsi="Arial" w:cs="Arial"/>
          <w:sz w:val="24"/>
          <w:szCs w:val="24"/>
          <w:lang w:val="mn-MN"/>
        </w:rPr>
      </w:pPr>
      <w:r w:rsidRPr="002D2FBD">
        <w:rPr>
          <w:rFonts w:ascii="Arial" w:hAnsi="Arial" w:cs="Arial"/>
          <w:sz w:val="24"/>
          <w:szCs w:val="24"/>
          <w:lang w:val="mn-MN"/>
        </w:rPr>
        <w:t xml:space="preserve">ДАРГА </w:t>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t xml:space="preserve">           Н.ЛУВСАНЖАВ</w:t>
      </w:r>
    </w:p>
    <w:p w:rsidR="002D2FBD" w:rsidRPr="002D2FBD" w:rsidRDefault="002D2FBD" w:rsidP="002D2FBD">
      <w:pPr>
        <w:rPr>
          <w:rFonts w:ascii="Arial" w:hAnsi="Arial" w:cs="Arial"/>
          <w:sz w:val="24"/>
          <w:szCs w:val="24"/>
          <w:lang w:val="mn-MN"/>
        </w:rPr>
      </w:pPr>
    </w:p>
    <w:p w:rsidR="002D2FBD" w:rsidRPr="002D2FBD" w:rsidRDefault="002D2FBD" w:rsidP="002D2FBD">
      <w:pPr>
        <w:ind w:left="720" w:firstLine="720"/>
        <w:rPr>
          <w:rFonts w:ascii="Arial" w:hAnsi="Arial" w:cs="Arial"/>
          <w:sz w:val="24"/>
          <w:szCs w:val="24"/>
        </w:rPr>
      </w:pPr>
      <w:r w:rsidRPr="002D2FBD">
        <w:rPr>
          <w:rFonts w:ascii="Arial" w:hAnsi="Arial" w:cs="Arial"/>
          <w:sz w:val="24"/>
          <w:szCs w:val="24"/>
          <w:lang w:val="mn-MN"/>
        </w:rPr>
        <w:t xml:space="preserve">НАРИЙН БИЧГИЙН ДАРГА </w:t>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r>
      <w:r w:rsidRPr="002D2FBD">
        <w:rPr>
          <w:rFonts w:ascii="Arial" w:hAnsi="Arial" w:cs="Arial"/>
          <w:sz w:val="24"/>
          <w:szCs w:val="24"/>
          <w:lang w:val="mn-MN"/>
        </w:rPr>
        <w:tab/>
        <w:t xml:space="preserve">   </w:t>
      </w:r>
      <w:r w:rsidRPr="002D2FBD">
        <w:rPr>
          <w:rFonts w:ascii="Arial" w:hAnsi="Arial" w:cs="Arial"/>
          <w:sz w:val="24"/>
          <w:szCs w:val="24"/>
          <w:lang w:val="mn-MN"/>
        </w:rPr>
        <w:tab/>
      </w:r>
      <w:r w:rsidRPr="002D2FBD">
        <w:rPr>
          <w:rFonts w:ascii="Arial" w:hAnsi="Arial" w:cs="Arial"/>
          <w:sz w:val="24"/>
          <w:szCs w:val="24"/>
          <w:lang w:val="mn-MN"/>
        </w:rPr>
        <w:tab/>
        <w:t xml:space="preserve"> </w:t>
      </w:r>
      <w:r w:rsidRPr="002D2FBD">
        <w:rPr>
          <w:rFonts w:ascii="Arial" w:hAnsi="Arial" w:cs="Arial"/>
          <w:sz w:val="24"/>
          <w:szCs w:val="24"/>
          <w:lang w:val="mn-MN"/>
        </w:rPr>
        <w:tab/>
        <w:t>Ч.СОДНОМЦЭРЭН</w:t>
      </w:r>
    </w:p>
    <w:p w:rsidR="002D2FBD" w:rsidRPr="002D2FBD" w:rsidRDefault="002D2FBD" w:rsidP="002D2FBD">
      <w:pPr>
        <w:ind w:left="720" w:firstLine="720"/>
        <w:rPr>
          <w:rFonts w:ascii="Arial" w:hAnsi="Arial" w:cs="Arial"/>
          <w:sz w:val="24"/>
          <w:szCs w:val="24"/>
        </w:rPr>
      </w:pPr>
    </w:p>
    <w:p w:rsidR="002D2FBD" w:rsidRPr="002D2FBD" w:rsidRDefault="002D2FBD" w:rsidP="002D2FBD">
      <w:pPr>
        <w:jc w:val="right"/>
        <w:rPr>
          <w:rFonts w:ascii="Arial" w:hAnsi="Arial" w:cs="Arial"/>
          <w:sz w:val="24"/>
          <w:szCs w:val="24"/>
          <w:lang w:val="mn-MN"/>
        </w:rPr>
      </w:pPr>
    </w:p>
    <w:p w:rsidR="002D2FBD" w:rsidRPr="002D2FBD" w:rsidRDefault="002D2FBD" w:rsidP="002D2FBD">
      <w:pPr>
        <w:jc w:val="right"/>
        <w:rPr>
          <w:rFonts w:ascii="Arial" w:hAnsi="Arial" w:cs="Arial"/>
          <w:sz w:val="24"/>
          <w:szCs w:val="24"/>
          <w:lang w:val="mn-MN"/>
        </w:rPr>
      </w:pPr>
    </w:p>
    <w:p w:rsidR="002D2FBD" w:rsidRPr="002D2FBD" w:rsidRDefault="002D2FBD" w:rsidP="002D2FBD">
      <w:pPr>
        <w:tabs>
          <w:tab w:val="left" w:pos="567"/>
          <w:tab w:val="left" w:pos="851"/>
        </w:tabs>
        <w:spacing w:line="240" w:lineRule="auto"/>
        <w:jc w:val="center"/>
        <w:rPr>
          <w:rFonts w:ascii="Arial" w:hAnsi="Arial" w:cs="Arial"/>
          <w:sz w:val="24"/>
          <w:szCs w:val="24"/>
          <w:lang w:val="mn-MN"/>
        </w:rPr>
      </w:pPr>
      <w:r w:rsidRPr="002D2FBD">
        <w:rPr>
          <w:rFonts w:ascii="Arial" w:hAnsi="Arial" w:cs="Arial"/>
          <w:sz w:val="24"/>
          <w:szCs w:val="24"/>
          <w:lang w:val="mn-MN"/>
        </w:rPr>
        <w:lastRenderedPageBreak/>
        <w:t xml:space="preserve">                                                                          Сонгуулийн Ерөнхий Хорооны</w:t>
      </w:r>
    </w:p>
    <w:p w:rsidR="002D2FBD" w:rsidRPr="002D2FBD" w:rsidRDefault="002D2FBD" w:rsidP="002D2FBD">
      <w:pPr>
        <w:tabs>
          <w:tab w:val="left" w:pos="567"/>
          <w:tab w:val="left" w:pos="851"/>
        </w:tabs>
        <w:spacing w:line="240" w:lineRule="auto"/>
        <w:rPr>
          <w:rFonts w:ascii="Arial" w:hAnsi="Arial" w:cs="Arial"/>
          <w:sz w:val="24"/>
          <w:szCs w:val="24"/>
          <w:lang w:val="mn-MN"/>
        </w:rPr>
      </w:pPr>
      <w:r w:rsidRPr="002D2FBD">
        <w:rPr>
          <w:rFonts w:ascii="Arial" w:hAnsi="Arial" w:cs="Arial"/>
          <w:sz w:val="24"/>
          <w:szCs w:val="24"/>
          <w:lang w:val="mn-MN"/>
        </w:rPr>
        <w:t xml:space="preserve">                                                                              2012 оны 5 дугаар сарын 28-ны өдрийн</w:t>
      </w:r>
    </w:p>
    <w:p w:rsidR="002D2FBD" w:rsidRPr="002D2FBD" w:rsidRDefault="002D2FBD" w:rsidP="002D2FBD">
      <w:pPr>
        <w:rPr>
          <w:rFonts w:ascii="Arial" w:hAnsi="Arial" w:cs="Arial"/>
          <w:sz w:val="24"/>
          <w:szCs w:val="24"/>
          <w:lang w:val="mn-MN"/>
        </w:rPr>
      </w:pPr>
      <w:r w:rsidRPr="002D2FBD">
        <w:rPr>
          <w:rFonts w:ascii="Arial" w:hAnsi="Arial" w:cs="Arial"/>
          <w:sz w:val="24"/>
          <w:szCs w:val="24"/>
          <w:lang w:val="mn-MN"/>
        </w:rPr>
        <w:t xml:space="preserve">                                                                                      73 дугаар тогтоолын хавсралт</w:t>
      </w:r>
    </w:p>
    <w:p w:rsidR="002D2FBD" w:rsidRPr="002D2FBD" w:rsidRDefault="002D2FBD" w:rsidP="002D2FBD">
      <w:pPr>
        <w:jc w:val="right"/>
        <w:rPr>
          <w:rFonts w:ascii="Arial" w:hAnsi="Arial" w:cs="Arial"/>
          <w:sz w:val="24"/>
          <w:szCs w:val="24"/>
          <w:lang w:val="mn-MN"/>
        </w:rPr>
      </w:pPr>
    </w:p>
    <w:p w:rsidR="002D2FBD" w:rsidRPr="002D2FBD" w:rsidRDefault="002D2FBD" w:rsidP="002D2FBD">
      <w:pPr>
        <w:spacing w:line="240" w:lineRule="auto"/>
        <w:jc w:val="center"/>
        <w:rPr>
          <w:rFonts w:ascii="Arial" w:hAnsi="Arial" w:cs="Arial"/>
          <w:sz w:val="24"/>
          <w:szCs w:val="24"/>
          <w:lang w:val="mn-MN"/>
        </w:rPr>
      </w:pPr>
      <w:r w:rsidRPr="002D2FBD">
        <w:rPr>
          <w:rFonts w:ascii="Arial" w:hAnsi="Arial" w:cs="Arial"/>
          <w:sz w:val="24"/>
          <w:szCs w:val="24"/>
          <w:lang w:val="mn-MN"/>
        </w:rPr>
        <w:t xml:space="preserve">МЭДЭЭЛЛИЙН АЖИЛЛАГААГ ТАСРАЛТГҮЙ ЯВУУЛАХ </w:t>
      </w:r>
    </w:p>
    <w:p w:rsidR="002D2FBD" w:rsidRPr="002D2FBD" w:rsidRDefault="002D2FBD" w:rsidP="002D2FBD">
      <w:pPr>
        <w:spacing w:line="240" w:lineRule="auto"/>
        <w:jc w:val="center"/>
        <w:rPr>
          <w:rFonts w:ascii="Arial" w:hAnsi="Arial" w:cs="Arial"/>
          <w:sz w:val="24"/>
          <w:szCs w:val="24"/>
          <w:lang w:val="mn-MN"/>
        </w:rPr>
      </w:pPr>
      <w:r w:rsidRPr="002D2FBD">
        <w:rPr>
          <w:rFonts w:ascii="Arial" w:hAnsi="Arial" w:cs="Arial"/>
          <w:sz w:val="24"/>
          <w:szCs w:val="24"/>
          <w:lang w:val="mn-MN"/>
        </w:rPr>
        <w:t>НӨӨЦ ТӨЛӨВЛӨГӨӨ</w:t>
      </w:r>
    </w:p>
    <w:p w:rsidR="002D2FBD" w:rsidRPr="002D2FBD" w:rsidRDefault="002D2FBD" w:rsidP="002D2FBD">
      <w:pPr>
        <w:rPr>
          <w:rFonts w:ascii="Arial" w:hAnsi="Arial" w:cs="Arial"/>
          <w:sz w:val="24"/>
          <w:szCs w:val="24"/>
          <w:lang w:val="mn-MN"/>
        </w:rPr>
      </w:pPr>
    </w:p>
    <w:p w:rsidR="002D2FBD" w:rsidRPr="002D2FBD" w:rsidRDefault="002D2FBD" w:rsidP="002D2FBD">
      <w:pPr>
        <w:spacing w:line="240" w:lineRule="auto"/>
        <w:rPr>
          <w:rFonts w:ascii="Arial" w:hAnsi="Arial" w:cs="Arial"/>
          <w:sz w:val="24"/>
          <w:szCs w:val="24"/>
          <w:lang w:val="mn-MN"/>
        </w:rPr>
      </w:pPr>
      <w:r w:rsidRPr="002D2FBD">
        <w:rPr>
          <w:rFonts w:ascii="Arial" w:hAnsi="Arial" w:cs="Arial"/>
          <w:sz w:val="24"/>
          <w:szCs w:val="24"/>
          <w:lang w:val="mn-MN"/>
        </w:rPr>
        <w:tab/>
        <w:t xml:space="preserve">Сонгуулийн автоматжуулсан системийг ашиглах явцад автоматжуулах хэрэгслийн иж бүрдлийн техник хэрэгсэл, тоног төхөөрөмж ажиллахгүй болсон тохиолдолд санал авах, санал тоолох, мэдээлэл дамжуулахтай холбогдон Сонгуулийн автоматжуулсан системийн тухай хуулийн 4.1.4-т заасан мэдээлэл оруулах, боловсруулах, нэгтгэх, хадгалах, хайх болон дамжуулах зэрэг мэдээллийн ажиллагааг саадгүй үргэлжлүүлэн явуулах дараахь арга хэмжээг авна. </w:t>
      </w:r>
    </w:p>
    <w:p w:rsidR="002D2FBD" w:rsidRPr="002D2FBD" w:rsidRDefault="002D2FBD" w:rsidP="002D2FBD">
      <w:pPr>
        <w:rPr>
          <w:rFonts w:ascii="Arial" w:hAnsi="Arial" w:cs="Arial"/>
          <w:sz w:val="24"/>
          <w:szCs w:val="24"/>
          <w:lang w:val="mn-MN"/>
        </w:rPr>
      </w:pPr>
    </w:p>
    <w:tbl>
      <w:tblPr>
        <w:tblStyle w:val="TableGrid"/>
        <w:tblW w:w="0" w:type="auto"/>
        <w:tblLook w:val="04A0"/>
      </w:tblPr>
      <w:tblGrid>
        <w:gridCol w:w="675"/>
        <w:gridCol w:w="5670"/>
        <w:gridCol w:w="3630"/>
      </w:tblGrid>
      <w:tr w:rsidR="002D2FBD" w:rsidRPr="002D2FBD" w:rsidTr="00F51B5D">
        <w:trPr>
          <w:trHeight w:val="393"/>
        </w:trPr>
        <w:tc>
          <w:tcPr>
            <w:tcW w:w="675" w:type="dxa"/>
            <w:vAlign w:val="center"/>
          </w:tcPr>
          <w:p w:rsidR="002D2FBD" w:rsidRPr="002D2FBD" w:rsidRDefault="002D2FBD" w:rsidP="00F51B5D">
            <w:pPr>
              <w:jc w:val="center"/>
              <w:rPr>
                <w:rFonts w:ascii="Arial" w:hAnsi="Arial" w:cs="Arial"/>
                <w:sz w:val="24"/>
                <w:szCs w:val="24"/>
                <w:lang w:val="mn-MN"/>
              </w:rPr>
            </w:pPr>
            <w:r w:rsidRPr="002D2FBD">
              <w:rPr>
                <w:rFonts w:ascii="Arial" w:hAnsi="Arial" w:cs="Arial"/>
                <w:sz w:val="24"/>
                <w:szCs w:val="24"/>
                <w:lang w:val="mn-MN"/>
              </w:rPr>
              <w:t>№</w:t>
            </w:r>
          </w:p>
        </w:tc>
        <w:tc>
          <w:tcPr>
            <w:tcW w:w="5670" w:type="dxa"/>
            <w:vAlign w:val="center"/>
          </w:tcPr>
          <w:p w:rsidR="002D2FBD" w:rsidRPr="002D2FBD" w:rsidRDefault="002D2FBD" w:rsidP="00F51B5D">
            <w:pPr>
              <w:jc w:val="center"/>
              <w:rPr>
                <w:rFonts w:ascii="Arial" w:hAnsi="Arial" w:cs="Arial"/>
                <w:sz w:val="24"/>
                <w:szCs w:val="24"/>
                <w:lang w:val="mn-MN"/>
              </w:rPr>
            </w:pPr>
            <w:r w:rsidRPr="002D2FBD">
              <w:rPr>
                <w:rFonts w:ascii="Arial" w:hAnsi="Arial" w:cs="Arial"/>
                <w:sz w:val="24"/>
                <w:szCs w:val="24"/>
                <w:lang w:val="mn-MN"/>
              </w:rPr>
              <w:t>Хийх ажил</w:t>
            </w:r>
          </w:p>
        </w:tc>
        <w:tc>
          <w:tcPr>
            <w:tcW w:w="3630" w:type="dxa"/>
            <w:vAlign w:val="center"/>
          </w:tcPr>
          <w:p w:rsidR="002D2FBD" w:rsidRPr="002D2FBD" w:rsidRDefault="002D2FBD" w:rsidP="00F51B5D">
            <w:pPr>
              <w:jc w:val="center"/>
              <w:rPr>
                <w:rFonts w:ascii="Arial" w:hAnsi="Arial" w:cs="Arial"/>
                <w:sz w:val="24"/>
                <w:szCs w:val="24"/>
                <w:lang w:val="mn-MN"/>
              </w:rPr>
            </w:pPr>
            <w:r w:rsidRPr="002D2FBD">
              <w:rPr>
                <w:rFonts w:ascii="Arial" w:hAnsi="Arial" w:cs="Arial"/>
                <w:sz w:val="24"/>
                <w:szCs w:val="24"/>
                <w:lang w:val="mn-MN"/>
              </w:rPr>
              <w:t>Хариуцах ажилтан</w:t>
            </w:r>
          </w:p>
        </w:tc>
      </w:tr>
      <w:tr w:rsidR="002D2FBD" w:rsidRPr="002D2FBD" w:rsidTr="00F51B5D">
        <w:trPr>
          <w:trHeight w:val="1415"/>
        </w:trPr>
        <w:tc>
          <w:tcPr>
            <w:tcW w:w="675" w:type="dxa"/>
            <w:vAlign w:val="center"/>
          </w:tcPr>
          <w:p w:rsidR="002D2FBD" w:rsidRPr="002D2FBD" w:rsidRDefault="002D2FBD" w:rsidP="00F51B5D">
            <w:pPr>
              <w:jc w:val="center"/>
              <w:rPr>
                <w:rFonts w:ascii="Arial" w:hAnsi="Arial" w:cs="Arial"/>
                <w:lang w:val="mn-MN"/>
              </w:rPr>
            </w:pPr>
            <w:r w:rsidRPr="002D2FBD">
              <w:rPr>
                <w:rFonts w:ascii="Arial" w:hAnsi="Arial" w:cs="Arial"/>
                <w:lang w:val="mn-MN"/>
              </w:rPr>
              <w:t>1</w:t>
            </w:r>
          </w:p>
        </w:tc>
        <w:tc>
          <w:tcPr>
            <w:tcW w:w="5670" w:type="dxa"/>
            <w:vAlign w:val="center"/>
          </w:tcPr>
          <w:p w:rsidR="002D2FBD" w:rsidRPr="002D2FBD" w:rsidRDefault="002D2FBD" w:rsidP="00F51B5D">
            <w:pPr>
              <w:rPr>
                <w:rFonts w:ascii="Arial" w:hAnsi="Arial" w:cs="Arial"/>
                <w:lang w:val="mn-MN"/>
              </w:rPr>
            </w:pPr>
            <w:r w:rsidRPr="002D2FBD">
              <w:rPr>
                <w:rFonts w:ascii="Arial" w:hAnsi="Arial" w:cs="Arial"/>
                <w:lang w:val="mn-MN"/>
              </w:rPr>
              <w:t>Сонгуулийн автоматжуулсан системийн автоматжуулах хэрэгслийн иж бүрдлийн техник хэрэгсэл, тоног төхөөрөмж, программ хангамжид гарсан гэмтэл, саатлын шалтгааныг оношлон тогтоож хэсгийн хороонд танилцуулах</w:t>
            </w:r>
          </w:p>
        </w:tc>
        <w:tc>
          <w:tcPr>
            <w:tcW w:w="3630" w:type="dxa"/>
            <w:vAlign w:val="center"/>
          </w:tcPr>
          <w:p w:rsidR="002D2FBD" w:rsidRPr="002D2FBD" w:rsidRDefault="002D2FBD" w:rsidP="00F51B5D">
            <w:pPr>
              <w:jc w:val="center"/>
              <w:rPr>
                <w:rFonts w:ascii="Arial" w:hAnsi="Arial" w:cs="Arial"/>
                <w:lang w:val="mn-MN"/>
              </w:rPr>
            </w:pPr>
            <w:r w:rsidRPr="002D2FBD">
              <w:rPr>
                <w:rFonts w:ascii="Arial" w:hAnsi="Arial" w:cs="Arial"/>
                <w:lang w:val="mn-MN"/>
              </w:rPr>
              <w:t>Мэдээллийн технологийн даамал</w:t>
            </w:r>
          </w:p>
        </w:tc>
      </w:tr>
      <w:tr w:rsidR="002D2FBD" w:rsidRPr="002D2FBD" w:rsidTr="00F51B5D">
        <w:trPr>
          <w:trHeight w:val="840"/>
        </w:trPr>
        <w:tc>
          <w:tcPr>
            <w:tcW w:w="675" w:type="dxa"/>
            <w:vAlign w:val="center"/>
          </w:tcPr>
          <w:p w:rsidR="002D2FBD" w:rsidRPr="002D2FBD" w:rsidRDefault="002D2FBD" w:rsidP="00F51B5D">
            <w:pPr>
              <w:jc w:val="center"/>
              <w:rPr>
                <w:rFonts w:ascii="Arial" w:hAnsi="Arial" w:cs="Arial"/>
                <w:lang w:val="mn-MN"/>
              </w:rPr>
            </w:pPr>
            <w:r w:rsidRPr="002D2FBD">
              <w:rPr>
                <w:rFonts w:ascii="Arial" w:hAnsi="Arial" w:cs="Arial"/>
                <w:lang w:val="mn-MN"/>
              </w:rPr>
              <w:t>2</w:t>
            </w:r>
          </w:p>
        </w:tc>
        <w:tc>
          <w:tcPr>
            <w:tcW w:w="5670" w:type="dxa"/>
            <w:vAlign w:val="center"/>
          </w:tcPr>
          <w:p w:rsidR="002D2FBD" w:rsidRPr="002D2FBD" w:rsidRDefault="002D2FBD" w:rsidP="00F51B5D">
            <w:pPr>
              <w:rPr>
                <w:rFonts w:ascii="Arial" w:hAnsi="Arial" w:cs="Arial"/>
                <w:lang w:val="mn-MN"/>
              </w:rPr>
            </w:pPr>
            <w:r w:rsidRPr="002D2FBD">
              <w:rPr>
                <w:rFonts w:ascii="Arial" w:hAnsi="Arial" w:cs="Arial"/>
                <w:lang w:val="mn-MN"/>
              </w:rPr>
              <w:t>Гэмтэл, саатлыг арилгах арга хэмжээг нэн даруй авах, шаардлагатай бол засвар, үйлчилгээний мэргэжлийн багт хандаж тусламжийг авах</w:t>
            </w:r>
          </w:p>
        </w:tc>
        <w:tc>
          <w:tcPr>
            <w:tcW w:w="3630" w:type="dxa"/>
            <w:vAlign w:val="center"/>
          </w:tcPr>
          <w:p w:rsidR="002D2FBD" w:rsidRPr="002D2FBD" w:rsidRDefault="002D2FBD" w:rsidP="00F51B5D">
            <w:pPr>
              <w:jc w:val="center"/>
              <w:rPr>
                <w:rFonts w:ascii="Arial" w:hAnsi="Arial" w:cs="Arial"/>
                <w:lang w:val="mn-MN"/>
              </w:rPr>
            </w:pPr>
            <w:r w:rsidRPr="002D2FBD">
              <w:rPr>
                <w:rFonts w:ascii="Arial" w:hAnsi="Arial" w:cs="Arial"/>
                <w:lang w:val="mn-MN"/>
              </w:rPr>
              <w:t>Мэдээллийн технологийн даамал</w:t>
            </w:r>
          </w:p>
        </w:tc>
      </w:tr>
      <w:tr w:rsidR="002D2FBD" w:rsidRPr="002D2FBD" w:rsidTr="00F51B5D">
        <w:tc>
          <w:tcPr>
            <w:tcW w:w="675" w:type="dxa"/>
            <w:vAlign w:val="center"/>
          </w:tcPr>
          <w:p w:rsidR="002D2FBD" w:rsidRPr="002D2FBD" w:rsidRDefault="002D2FBD" w:rsidP="00F51B5D">
            <w:pPr>
              <w:jc w:val="center"/>
              <w:rPr>
                <w:rFonts w:ascii="Arial" w:hAnsi="Arial" w:cs="Arial"/>
                <w:lang w:val="mn-MN"/>
              </w:rPr>
            </w:pPr>
            <w:r w:rsidRPr="002D2FBD">
              <w:rPr>
                <w:rFonts w:ascii="Arial" w:hAnsi="Arial" w:cs="Arial"/>
                <w:lang w:val="mn-MN"/>
              </w:rPr>
              <w:t>3</w:t>
            </w:r>
          </w:p>
        </w:tc>
        <w:tc>
          <w:tcPr>
            <w:tcW w:w="5670" w:type="dxa"/>
          </w:tcPr>
          <w:p w:rsidR="002D2FBD" w:rsidRPr="002D2FBD" w:rsidRDefault="002D2FBD" w:rsidP="00F51B5D">
            <w:pPr>
              <w:rPr>
                <w:rFonts w:ascii="Arial" w:hAnsi="Arial" w:cs="Arial"/>
                <w:lang w:val="mn-MN"/>
              </w:rPr>
            </w:pPr>
            <w:r w:rsidRPr="002D2FBD">
              <w:rPr>
                <w:rFonts w:ascii="Arial" w:hAnsi="Arial" w:cs="Arial"/>
                <w:lang w:val="mn-MN"/>
              </w:rPr>
              <w:t>Гэмтэл, саатал гарсан нөхцөлд мэдээллийн ажиллагааг гэмтэл, саатал, доголдлыг арилгах хүртэл тасралтгүй явуулахын тулд дараахь арга хэмжээг авах:</w:t>
            </w:r>
          </w:p>
          <w:p w:rsidR="002D2FBD" w:rsidRPr="002D2FBD" w:rsidRDefault="002D2FBD" w:rsidP="00F51B5D">
            <w:pPr>
              <w:rPr>
                <w:rFonts w:ascii="Arial" w:hAnsi="Arial" w:cs="Arial"/>
                <w:lang w:val="mn-MN"/>
              </w:rPr>
            </w:pP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Цахилгаан хангамж түр тасарсан тохиолдолд санал тоолох төхөөрөмжийн доорхи саналын хайрцгийн нөөц савны лацыг авч саналын хуудсыг саналын хайрцагт хийлгэх.</w:t>
            </w: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Гарын хурууны хээгээр сонгогчийг таньж баталгаажуулах төхөөрөмжийн ажиллагаа доголдсон тохиолдолд сонгогчийн иргэний үнэмлэхийн мэдээллийг сонгогчдын нэрийн цаасаар үйлдсэн жагсаалттай тулган нягталж саналын хуудас өгөх.</w:t>
            </w: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“Бүртгэлийн хуудас” хэвлэх төхөөрөмж доголдсон тохиолдолд гарын хурууны хээгээр танигдсан сонгогчид гараар бичсэн “Бүртгэлийн хуудас” олгох.</w:t>
            </w: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Санал тоолох төхөөрөмжийн ажиллагаа доголдсон тохиолдолд саналын хайрцгийн нөөц савны лацыг авч саналын хуудсыг саналын хайрцагт хийлгэх, санал хураалт дууссаны дараа саналын хайрцгийн нөөц саванд хийсэн саналын хуудсуудыг санал тоолох машинд хийж тоолуулах.</w:t>
            </w: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 xml:space="preserve">Сонгуулийн автоматжуулсан системд ашиглаж буй программ хангамж доголдсон нөхцөлд мэдээллийн ажиллагааг бүхэлд нь </w:t>
            </w:r>
            <w:r w:rsidRPr="002D2FBD">
              <w:rPr>
                <w:rFonts w:ascii="Arial" w:hAnsi="Arial" w:cs="Arial"/>
                <w:lang w:val="mn-MN"/>
              </w:rPr>
              <w:lastRenderedPageBreak/>
              <w:t>гар ажиллагаанд энэхүү нөөц төлөвлөгөөний дагуу шилжүүлэх.</w:t>
            </w: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Сонгуулийн автоматжуулсан системд доголдол гарсан нөхцөлд доголдлыг арилгахад шаардлагатай хүн хүч, техник хэрэгсэл, тээвэр, холбооны болон бусад туслалцааг шуурхай үзүүлэх.</w:t>
            </w: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Санал авах байр байгалийн гамшигт үзэгдэл, гэнэтийн аюулд өртсөн тохиолдолд нүүлгэн шилжүүлэх, мэдээллийн сүлжээ, холбоо харилцааг сэргээх, автоматжуулах хэрэгслийн иж бүрдлийн аюулгүй байдлыг хангаж, гадны болзошгүй халдлага, гэмт үйлдлээс хамгаалах.</w:t>
            </w:r>
          </w:p>
          <w:p w:rsidR="002D2FBD" w:rsidRPr="002D2FBD" w:rsidRDefault="002D2FBD" w:rsidP="002D2FBD">
            <w:pPr>
              <w:pStyle w:val="ListParagraph"/>
              <w:numPr>
                <w:ilvl w:val="1"/>
                <w:numId w:val="6"/>
              </w:numPr>
              <w:rPr>
                <w:rFonts w:ascii="Arial" w:hAnsi="Arial" w:cs="Arial"/>
                <w:lang w:val="mn-MN"/>
              </w:rPr>
            </w:pPr>
            <w:r w:rsidRPr="002D2FBD">
              <w:rPr>
                <w:rFonts w:ascii="Arial" w:hAnsi="Arial" w:cs="Arial"/>
                <w:lang w:val="mn-MN"/>
              </w:rPr>
              <w:t>Хэсгийн хороодод ашиглаж буй автоматжуулах хэрэгслийн иж бүрдлийн техник хэрэгсэл, тоног төхөөрөмжид учирсан гэмтэл, саатлыг арилгах талаар мэргэжил, арга зүйн болон бусад туслалцааг шуурхай үзүүлэх.</w:t>
            </w:r>
          </w:p>
        </w:tc>
        <w:tc>
          <w:tcPr>
            <w:tcW w:w="3630" w:type="dxa"/>
          </w:tcPr>
          <w:p w:rsidR="002D2FBD" w:rsidRPr="002D2FBD" w:rsidRDefault="002D2FBD" w:rsidP="00F51B5D">
            <w:pPr>
              <w:rPr>
                <w:rFonts w:ascii="Arial" w:hAnsi="Arial" w:cs="Arial"/>
                <w:lang w:val="mn-MN"/>
              </w:rPr>
            </w:pPr>
          </w:p>
          <w:p w:rsidR="002D2FBD" w:rsidRPr="002D2FBD" w:rsidRDefault="002D2FBD" w:rsidP="00F51B5D">
            <w:pPr>
              <w:rPr>
                <w:rFonts w:ascii="Arial" w:hAnsi="Arial" w:cs="Arial"/>
                <w:lang w:val="mn-MN"/>
              </w:rPr>
            </w:pPr>
          </w:p>
          <w:p w:rsidR="002D2FBD" w:rsidRPr="002D2FBD" w:rsidRDefault="002D2FBD" w:rsidP="00F51B5D">
            <w:pPr>
              <w:rPr>
                <w:rFonts w:ascii="Arial" w:hAnsi="Arial" w:cs="Arial"/>
                <w:lang w:val="mn-MN"/>
              </w:rPr>
            </w:pPr>
          </w:p>
          <w:p w:rsidR="002D2FBD" w:rsidRPr="002D2FBD" w:rsidRDefault="002D2FBD" w:rsidP="00F51B5D">
            <w:pPr>
              <w:rPr>
                <w:rFonts w:ascii="Arial" w:hAnsi="Arial" w:cs="Arial"/>
                <w:lang w:val="mn-MN"/>
              </w:rPr>
            </w:pPr>
          </w:p>
          <w:p w:rsidR="002D2FBD" w:rsidRPr="002D2FBD" w:rsidRDefault="002D2FBD" w:rsidP="00F51B5D">
            <w:pP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Хэсгийн хорооны дарга, нарийн бичгийн дарга, хариуцсан гишүүд</w:t>
            </w:r>
          </w:p>
          <w:p w:rsidR="002D2FBD" w:rsidRPr="002D2FBD" w:rsidRDefault="002D2FBD" w:rsidP="00F51B5D">
            <w:pPr>
              <w:jc w:val="center"/>
              <w:rPr>
                <w:rFonts w:ascii="Arial" w:hAnsi="Arial" w:cs="Arial"/>
                <w:strike/>
                <w:lang w:val="mn-MN"/>
              </w:rPr>
            </w:pPr>
          </w:p>
          <w:p w:rsidR="002D2FBD" w:rsidRPr="002D2FBD" w:rsidRDefault="002D2FBD" w:rsidP="00F51B5D">
            <w:pPr>
              <w:jc w:val="center"/>
              <w:rPr>
                <w:rFonts w:ascii="Arial" w:hAnsi="Arial" w:cs="Arial"/>
                <w:strike/>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Хэсгийн хорооны хариуцсан гишүүд</w:t>
            </w: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Иргэний бүртгэлийн итгэмжлэгдсэн ажилтан</w:t>
            </w: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Хэсгийн хорооны дарга, нарийн бичгийн дарга, хариуцсан гишүүн</w:t>
            </w: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 xml:space="preserve">Хэсгийн хорооны дарга, нарийн бичгийн дарга, хариуцсан </w:t>
            </w:r>
            <w:r w:rsidRPr="002D2FBD">
              <w:rPr>
                <w:rFonts w:ascii="Arial" w:hAnsi="Arial" w:cs="Arial"/>
                <w:lang w:val="mn-MN"/>
              </w:rPr>
              <w:lastRenderedPageBreak/>
              <w:t>гишүүд</w:t>
            </w: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Зохих шатны Засаг дарга</w:t>
            </w: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Хэсгийн хорооны дарга, нарийн бичгийн дарга, зохих шатны Засаг дарга, цагдаа, тагнуулын байгууллага</w:t>
            </w: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 xml:space="preserve">Сонгуулийн Ерөнхий Хорооны дэргэдэх Мэдээллийн технологийн төв, </w:t>
            </w:r>
          </w:p>
          <w:p w:rsidR="002D2FBD" w:rsidRPr="002D2FBD" w:rsidRDefault="002D2FBD" w:rsidP="00F51B5D">
            <w:pPr>
              <w:jc w:val="center"/>
              <w:rPr>
                <w:rFonts w:ascii="Arial" w:hAnsi="Arial" w:cs="Arial"/>
                <w:lang w:val="mn-MN"/>
              </w:rPr>
            </w:pPr>
            <w:r w:rsidRPr="002D2FBD">
              <w:rPr>
                <w:rFonts w:ascii="Arial" w:hAnsi="Arial" w:cs="Arial"/>
                <w:lang w:val="mn-MN"/>
              </w:rPr>
              <w:t>холбогдох сонгуулийн хорооны дэргэдэх Мэдээллийн технологийн баг, гэрээт компаниуд</w:t>
            </w:r>
          </w:p>
        </w:tc>
      </w:tr>
      <w:tr w:rsidR="002D2FBD" w:rsidRPr="002D2FBD" w:rsidTr="00F51B5D">
        <w:tc>
          <w:tcPr>
            <w:tcW w:w="675" w:type="dxa"/>
            <w:vAlign w:val="center"/>
          </w:tcPr>
          <w:p w:rsidR="002D2FBD" w:rsidRPr="002D2FBD" w:rsidRDefault="002D2FBD" w:rsidP="00F51B5D">
            <w:pPr>
              <w:jc w:val="center"/>
              <w:rPr>
                <w:rFonts w:ascii="Arial" w:hAnsi="Arial" w:cs="Arial"/>
                <w:lang w:val="mn-MN"/>
              </w:rPr>
            </w:pPr>
            <w:r w:rsidRPr="002D2FBD">
              <w:rPr>
                <w:rFonts w:ascii="Arial" w:hAnsi="Arial" w:cs="Arial"/>
                <w:lang w:val="mn-MN"/>
              </w:rPr>
              <w:lastRenderedPageBreak/>
              <w:t>4</w:t>
            </w:r>
          </w:p>
        </w:tc>
        <w:tc>
          <w:tcPr>
            <w:tcW w:w="5670" w:type="dxa"/>
          </w:tcPr>
          <w:p w:rsidR="002D2FBD" w:rsidRPr="002D2FBD" w:rsidRDefault="002D2FBD" w:rsidP="00F51B5D">
            <w:pPr>
              <w:rPr>
                <w:rFonts w:ascii="Arial" w:hAnsi="Arial" w:cs="Arial"/>
                <w:lang w:val="mn-MN"/>
              </w:rPr>
            </w:pPr>
            <w:r w:rsidRPr="002D2FBD">
              <w:rPr>
                <w:rFonts w:ascii="Arial" w:hAnsi="Arial" w:cs="Arial"/>
                <w:lang w:val="mn-MN"/>
              </w:rPr>
              <w:t>Сонгуулийн автоматжуулсан системийг ашиглах явцад автоматжуулах хэрэгслийн иж бүрдлийн техник, тоног төхөөрөмж ажиллахгүй болсон, түүнийг өөр техник хэрэгсэл, тоног төхөөрөмжөөр солих, засварлах боломжгүй болсон тохиолдолд “Сонгуулийн автоматжуулсан системийн автоматжуулах хэрэгслийн иж бүрдэлд гэмтэл, саатал гарсны улмаас гар ажиллагаанд шилжих журам”-ын дагуу гар ажиллагаанд шилжинэ:</w:t>
            </w:r>
          </w:p>
          <w:p w:rsidR="002D2FBD" w:rsidRPr="002D2FBD" w:rsidRDefault="002D2FBD" w:rsidP="00F51B5D">
            <w:pPr>
              <w:rPr>
                <w:rFonts w:ascii="Arial" w:hAnsi="Arial" w:cs="Arial"/>
                <w:lang w:val="mn-MN"/>
              </w:rPr>
            </w:pPr>
          </w:p>
          <w:p w:rsidR="002D2FBD" w:rsidRPr="002D2FBD" w:rsidRDefault="002D2FBD" w:rsidP="002D2FBD">
            <w:pPr>
              <w:pStyle w:val="ListParagraph"/>
              <w:numPr>
                <w:ilvl w:val="1"/>
                <w:numId w:val="7"/>
              </w:numPr>
              <w:rPr>
                <w:rFonts w:ascii="Arial" w:hAnsi="Arial" w:cs="Arial"/>
                <w:lang w:val="mn-MN"/>
              </w:rPr>
            </w:pPr>
            <w:r w:rsidRPr="002D2FBD">
              <w:rPr>
                <w:rFonts w:ascii="Arial" w:hAnsi="Arial" w:cs="Arial"/>
                <w:lang w:val="mn-MN"/>
              </w:rPr>
              <w:t>Журмын 2.1-д заасан нөхцөл байдал үүссэн болохыг бодитой үнэлж, дүгнэлт гаргах;</w:t>
            </w:r>
          </w:p>
          <w:p w:rsidR="002D2FBD" w:rsidRPr="002D2FBD" w:rsidRDefault="002D2FBD" w:rsidP="00F51B5D">
            <w:pPr>
              <w:pStyle w:val="ListParagraph"/>
              <w:rPr>
                <w:rFonts w:ascii="Arial" w:hAnsi="Arial" w:cs="Arial"/>
                <w:lang w:val="mn-MN"/>
              </w:rPr>
            </w:pPr>
          </w:p>
          <w:p w:rsidR="002D2FBD" w:rsidRPr="002D2FBD" w:rsidRDefault="002D2FBD" w:rsidP="002D2FBD">
            <w:pPr>
              <w:pStyle w:val="ListParagraph"/>
              <w:numPr>
                <w:ilvl w:val="1"/>
                <w:numId w:val="7"/>
              </w:numPr>
              <w:rPr>
                <w:rFonts w:ascii="Arial" w:hAnsi="Arial" w:cs="Arial"/>
                <w:lang w:val="mn-MN"/>
              </w:rPr>
            </w:pPr>
            <w:r w:rsidRPr="002D2FBD">
              <w:rPr>
                <w:rFonts w:ascii="Arial" w:hAnsi="Arial" w:cs="Arial"/>
                <w:lang w:val="mn-MN"/>
              </w:rPr>
              <w:t>Хэсгийн хороо дүгнэлтийг хуралдаанаараа хэлэлцэн шийдвэр гаргах;</w:t>
            </w:r>
          </w:p>
          <w:p w:rsidR="002D2FBD" w:rsidRPr="002D2FBD" w:rsidRDefault="002D2FBD" w:rsidP="002D2FBD">
            <w:pPr>
              <w:pStyle w:val="ListParagraph"/>
              <w:numPr>
                <w:ilvl w:val="1"/>
                <w:numId w:val="7"/>
              </w:numPr>
              <w:rPr>
                <w:rFonts w:ascii="Arial" w:hAnsi="Arial" w:cs="Arial"/>
                <w:lang w:val="mn-MN"/>
              </w:rPr>
            </w:pPr>
            <w:r w:rsidRPr="002D2FBD">
              <w:rPr>
                <w:rFonts w:ascii="Arial" w:hAnsi="Arial" w:cs="Arial"/>
                <w:lang w:val="mn-MN"/>
              </w:rPr>
              <w:t>Санал авах хайрцаг, лац, саналын хуудсыг гараар тоолоход зориулсан хүснэгт зэрэг шаардлагатай зүйлсийг урьдчилан бэлтгэх;</w:t>
            </w:r>
          </w:p>
          <w:p w:rsidR="002D2FBD" w:rsidRPr="002D2FBD" w:rsidRDefault="002D2FBD" w:rsidP="002D2FBD">
            <w:pPr>
              <w:pStyle w:val="ListParagraph"/>
              <w:numPr>
                <w:ilvl w:val="1"/>
                <w:numId w:val="7"/>
              </w:numPr>
              <w:rPr>
                <w:rFonts w:ascii="Arial" w:hAnsi="Arial" w:cs="Arial"/>
                <w:lang w:val="mn-MN"/>
              </w:rPr>
            </w:pPr>
            <w:r w:rsidRPr="002D2FBD">
              <w:rPr>
                <w:rFonts w:ascii="Arial" w:hAnsi="Arial" w:cs="Arial"/>
                <w:lang w:val="mn-MN"/>
              </w:rPr>
              <w:t>Гар ажиллагаанд шилжсэн тохиолдолд ажиглагчид ажиглах нөхцөл, бололцоог бүрдүүлэх;</w:t>
            </w:r>
          </w:p>
          <w:p w:rsidR="002D2FBD" w:rsidRPr="002D2FBD" w:rsidRDefault="002D2FBD" w:rsidP="002D2FBD">
            <w:pPr>
              <w:pStyle w:val="ListParagraph"/>
              <w:numPr>
                <w:ilvl w:val="1"/>
                <w:numId w:val="7"/>
              </w:numPr>
              <w:rPr>
                <w:rFonts w:ascii="Arial" w:hAnsi="Arial" w:cs="Arial"/>
                <w:lang w:val="mn-MN"/>
              </w:rPr>
            </w:pPr>
            <w:r w:rsidRPr="002D2FBD">
              <w:rPr>
                <w:rFonts w:ascii="Arial" w:hAnsi="Arial" w:cs="Arial"/>
                <w:lang w:val="mn-MN"/>
              </w:rPr>
              <w:t>Гар ажиллагаанд шилжсэн тухай мэдээллийг сонгогчдод хүргэх, тайлбарлах;</w:t>
            </w:r>
          </w:p>
          <w:p w:rsidR="002D2FBD" w:rsidRPr="002D2FBD" w:rsidRDefault="002D2FBD" w:rsidP="002D2FBD">
            <w:pPr>
              <w:pStyle w:val="ListParagraph"/>
              <w:numPr>
                <w:ilvl w:val="1"/>
                <w:numId w:val="7"/>
              </w:numPr>
              <w:rPr>
                <w:rFonts w:ascii="Arial" w:hAnsi="Arial" w:cs="Arial"/>
                <w:lang w:val="mn-MN"/>
              </w:rPr>
            </w:pPr>
            <w:r w:rsidRPr="002D2FBD">
              <w:rPr>
                <w:rFonts w:ascii="Arial" w:hAnsi="Arial" w:cs="Arial"/>
                <w:lang w:val="mn-MN"/>
              </w:rPr>
              <w:t>Дээд шатны сонгуулийн хороонд мэдэгдэх.</w:t>
            </w:r>
          </w:p>
        </w:tc>
        <w:tc>
          <w:tcPr>
            <w:tcW w:w="3630" w:type="dxa"/>
          </w:tcPr>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Мэдээллийн технологийн даамал /шаардлагатай бол холбогдох сонгуулийн хорооны дэргэдэх Мэдээллийн технологийн баг/</w:t>
            </w: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p>
          <w:p w:rsidR="002D2FBD" w:rsidRPr="002D2FBD" w:rsidRDefault="002D2FBD" w:rsidP="00F51B5D">
            <w:pPr>
              <w:jc w:val="center"/>
              <w:rPr>
                <w:rFonts w:ascii="Arial" w:hAnsi="Arial" w:cs="Arial"/>
                <w:lang w:val="mn-MN"/>
              </w:rPr>
            </w:pPr>
            <w:r w:rsidRPr="002D2FBD">
              <w:rPr>
                <w:rFonts w:ascii="Arial" w:hAnsi="Arial" w:cs="Arial"/>
                <w:lang w:val="mn-MN"/>
              </w:rPr>
              <w:t>Хэсгийн хорооны дарга, нарийн бичгийн дарга нар хариуцан зохион байгуулна</w:t>
            </w:r>
          </w:p>
        </w:tc>
      </w:tr>
    </w:tbl>
    <w:p w:rsidR="002D2FBD" w:rsidRPr="002D2FBD" w:rsidRDefault="002D2FBD" w:rsidP="002D2FBD">
      <w:pPr>
        <w:rPr>
          <w:rFonts w:ascii="Arial" w:hAnsi="Arial" w:cs="Arial"/>
          <w:sz w:val="24"/>
          <w:szCs w:val="24"/>
          <w:lang w:val="mn-MN"/>
        </w:rPr>
      </w:pPr>
    </w:p>
    <w:p w:rsidR="002D2FBD" w:rsidRPr="002D2FBD" w:rsidRDefault="002D2FBD" w:rsidP="002D2FBD">
      <w:pPr>
        <w:spacing w:line="240" w:lineRule="auto"/>
        <w:ind w:firstLine="720"/>
        <w:rPr>
          <w:rFonts w:ascii="Arial" w:hAnsi="Arial" w:cs="Arial"/>
          <w:i/>
          <w:iCs/>
          <w:sz w:val="20"/>
          <w:szCs w:val="20"/>
          <w:lang w:val="mn-MN"/>
        </w:rPr>
      </w:pPr>
      <w:r w:rsidRPr="002D2FBD">
        <w:rPr>
          <w:rFonts w:ascii="Arial" w:hAnsi="Arial" w:cs="Arial"/>
          <w:i/>
          <w:iCs/>
          <w:sz w:val="20"/>
          <w:szCs w:val="20"/>
          <w:lang w:val="mn-MN"/>
        </w:rPr>
        <w:t>/Энэ төлөвлөгөөнд Сонгуулийн Ерөнхий Хорооны 2012 оны 10 дугаар сарын 19-ний өдрийн 153, 2013 оны  4 дүгээр сарын 14-ний өдрийн 28 дугаар тогтоолоор орсон нэмэлт, өөрчлөлтийг тусгав./</w:t>
      </w:r>
    </w:p>
    <w:p w:rsidR="002D2FBD" w:rsidRPr="002D2FBD" w:rsidRDefault="002D2FBD" w:rsidP="002D2FBD">
      <w:pPr>
        <w:rPr>
          <w:rFonts w:ascii="Arial" w:hAnsi="Arial" w:cs="Arial"/>
          <w:szCs w:val="24"/>
        </w:rPr>
      </w:pPr>
    </w:p>
    <w:p w:rsidR="00F5181C" w:rsidRPr="002D2FBD" w:rsidRDefault="00F5181C" w:rsidP="002D2FBD">
      <w:pPr>
        <w:rPr>
          <w:rFonts w:ascii="Arial" w:hAnsi="Arial" w:cs="Arial"/>
          <w:szCs w:val="24"/>
        </w:rPr>
      </w:pPr>
    </w:p>
    <w:sectPr w:rsidR="00F5181C" w:rsidRPr="002D2FBD" w:rsidSect="008D3679">
      <w:pgSz w:w="11907" w:h="16839" w:code="9"/>
      <w:pgMar w:top="1440" w:right="567"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1680"/>
    <w:multiLevelType w:val="hybridMultilevel"/>
    <w:tmpl w:val="F4BEC968"/>
    <w:lvl w:ilvl="0" w:tplc="81728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B49AC"/>
    <w:multiLevelType w:val="hybridMultilevel"/>
    <w:tmpl w:val="3CD63E08"/>
    <w:lvl w:ilvl="0" w:tplc="8E26BC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870B16"/>
    <w:multiLevelType w:val="hybridMultilevel"/>
    <w:tmpl w:val="04C44074"/>
    <w:lvl w:ilvl="0" w:tplc="0409000F">
      <w:start w:val="1"/>
      <w:numFmt w:val="decimal"/>
      <w:lvlText w:val="%1."/>
      <w:lvlJc w:val="left"/>
      <w:pPr>
        <w:ind w:left="2414" w:hanging="360"/>
      </w:pPr>
    </w:lvl>
    <w:lvl w:ilvl="1" w:tplc="04090019" w:tentative="1">
      <w:start w:val="1"/>
      <w:numFmt w:val="lowerLetter"/>
      <w:lvlText w:val="%2."/>
      <w:lvlJc w:val="left"/>
      <w:pPr>
        <w:ind w:left="3134" w:hanging="360"/>
      </w:pPr>
    </w:lvl>
    <w:lvl w:ilvl="2" w:tplc="0409001B" w:tentative="1">
      <w:start w:val="1"/>
      <w:numFmt w:val="lowerRoman"/>
      <w:lvlText w:val="%3."/>
      <w:lvlJc w:val="right"/>
      <w:pPr>
        <w:ind w:left="3854" w:hanging="180"/>
      </w:pPr>
    </w:lvl>
    <w:lvl w:ilvl="3" w:tplc="0409000F" w:tentative="1">
      <w:start w:val="1"/>
      <w:numFmt w:val="decimal"/>
      <w:lvlText w:val="%4."/>
      <w:lvlJc w:val="left"/>
      <w:pPr>
        <w:ind w:left="4574" w:hanging="360"/>
      </w:pPr>
    </w:lvl>
    <w:lvl w:ilvl="4" w:tplc="04090019" w:tentative="1">
      <w:start w:val="1"/>
      <w:numFmt w:val="lowerLetter"/>
      <w:lvlText w:val="%5."/>
      <w:lvlJc w:val="left"/>
      <w:pPr>
        <w:ind w:left="5294" w:hanging="360"/>
      </w:pPr>
    </w:lvl>
    <w:lvl w:ilvl="5" w:tplc="0409001B" w:tentative="1">
      <w:start w:val="1"/>
      <w:numFmt w:val="lowerRoman"/>
      <w:lvlText w:val="%6."/>
      <w:lvlJc w:val="right"/>
      <w:pPr>
        <w:ind w:left="6014" w:hanging="180"/>
      </w:pPr>
    </w:lvl>
    <w:lvl w:ilvl="6" w:tplc="0409000F" w:tentative="1">
      <w:start w:val="1"/>
      <w:numFmt w:val="decimal"/>
      <w:lvlText w:val="%7."/>
      <w:lvlJc w:val="left"/>
      <w:pPr>
        <w:ind w:left="6734" w:hanging="360"/>
      </w:pPr>
    </w:lvl>
    <w:lvl w:ilvl="7" w:tplc="04090019" w:tentative="1">
      <w:start w:val="1"/>
      <w:numFmt w:val="lowerLetter"/>
      <w:lvlText w:val="%8."/>
      <w:lvlJc w:val="left"/>
      <w:pPr>
        <w:ind w:left="7454" w:hanging="360"/>
      </w:pPr>
    </w:lvl>
    <w:lvl w:ilvl="8" w:tplc="0409001B" w:tentative="1">
      <w:start w:val="1"/>
      <w:numFmt w:val="lowerRoman"/>
      <w:lvlText w:val="%9."/>
      <w:lvlJc w:val="right"/>
      <w:pPr>
        <w:ind w:left="8174" w:hanging="180"/>
      </w:pPr>
    </w:lvl>
  </w:abstractNum>
  <w:abstractNum w:abstractNumId="3">
    <w:nsid w:val="3DA40212"/>
    <w:multiLevelType w:val="hybridMultilevel"/>
    <w:tmpl w:val="1D0CE0BE"/>
    <w:lvl w:ilvl="0" w:tplc="817281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D11E5E"/>
    <w:multiLevelType w:val="multilevel"/>
    <w:tmpl w:val="5B868C3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F92879"/>
    <w:multiLevelType w:val="hybridMultilevel"/>
    <w:tmpl w:val="4E00DA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2074EF"/>
    <w:multiLevelType w:val="multilevel"/>
    <w:tmpl w:val="77AA39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5181C"/>
    <w:rsid w:val="000450B4"/>
    <w:rsid w:val="00045B92"/>
    <w:rsid w:val="00067DB9"/>
    <w:rsid w:val="000E14D2"/>
    <w:rsid w:val="000E2B41"/>
    <w:rsid w:val="000E4AB6"/>
    <w:rsid w:val="001034E8"/>
    <w:rsid w:val="00174495"/>
    <w:rsid w:val="001C0335"/>
    <w:rsid w:val="0022714C"/>
    <w:rsid w:val="00232C73"/>
    <w:rsid w:val="00263C88"/>
    <w:rsid w:val="002D2FBD"/>
    <w:rsid w:val="003B2683"/>
    <w:rsid w:val="003B6B7F"/>
    <w:rsid w:val="00474EF4"/>
    <w:rsid w:val="00485AFA"/>
    <w:rsid w:val="004B71EF"/>
    <w:rsid w:val="0057611A"/>
    <w:rsid w:val="00584255"/>
    <w:rsid w:val="005942A6"/>
    <w:rsid w:val="005B3AB2"/>
    <w:rsid w:val="005C5AB7"/>
    <w:rsid w:val="005E0204"/>
    <w:rsid w:val="006057DD"/>
    <w:rsid w:val="00610B2A"/>
    <w:rsid w:val="006405FB"/>
    <w:rsid w:val="006671A1"/>
    <w:rsid w:val="00697FEE"/>
    <w:rsid w:val="006C59D0"/>
    <w:rsid w:val="006E2891"/>
    <w:rsid w:val="006E4F09"/>
    <w:rsid w:val="006E69FD"/>
    <w:rsid w:val="0078799D"/>
    <w:rsid w:val="007A3102"/>
    <w:rsid w:val="007D2258"/>
    <w:rsid w:val="0084585C"/>
    <w:rsid w:val="008479D6"/>
    <w:rsid w:val="00863E72"/>
    <w:rsid w:val="008B65E0"/>
    <w:rsid w:val="008D3679"/>
    <w:rsid w:val="008E65B4"/>
    <w:rsid w:val="009130F1"/>
    <w:rsid w:val="009E3A84"/>
    <w:rsid w:val="00A5123A"/>
    <w:rsid w:val="00A65931"/>
    <w:rsid w:val="00AB43C0"/>
    <w:rsid w:val="00AF0B42"/>
    <w:rsid w:val="00AF5777"/>
    <w:rsid w:val="00B01AE1"/>
    <w:rsid w:val="00B60C19"/>
    <w:rsid w:val="00B81E68"/>
    <w:rsid w:val="00B96AE7"/>
    <w:rsid w:val="00BA7447"/>
    <w:rsid w:val="00BC1CC1"/>
    <w:rsid w:val="00BD6125"/>
    <w:rsid w:val="00C022B4"/>
    <w:rsid w:val="00C137A6"/>
    <w:rsid w:val="00C40330"/>
    <w:rsid w:val="00C455EE"/>
    <w:rsid w:val="00C80FC8"/>
    <w:rsid w:val="00CF72FE"/>
    <w:rsid w:val="00D0143D"/>
    <w:rsid w:val="00D10B99"/>
    <w:rsid w:val="00D5037A"/>
    <w:rsid w:val="00D64E4C"/>
    <w:rsid w:val="00E22BC5"/>
    <w:rsid w:val="00E30A53"/>
    <w:rsid w:val="00E76C28"/>
    <w:rsid w:val="00E86994"/>
    <w:rsid w:val="00E92B17"/>
    <w:rsid w:val="00EB5826"/>
    <w:rsid w:val="00EE53DB"/>
    <w:rsid w:val="00EF05E8"/>
    <w:rsid w:val="00F04F33"/>
    <w:rsid w:val="00F5181C"/>
    <w:rsid w:val="00F84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8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2C0"/>
    <w:pPr>
      <w:ind w:left="720"/>
      <w:contextualSpacing/>
    </w:pPr>
  </w:style>
  <w:style w:type="paragraph" w:styleId="BalloonText">
    <w:name w:val="Balloon Text"/>
    <w:basedOn w:val="Normal"/>
    <w:link w:val="BalloonTextChar"/>
    <w:uiPriority w:val="99"/>
    <w:semiHidden/>
    <w:unhideWhenUsed/>
    <w:rsid w:val="002D2F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382736">
      <w:bodyDiv w:val="1"/>
      <w:marLeft w:val="0"/>
      <w:marRight w:val="0"/>
      <w:marTop w:val="0"/>
      <w:marBottom w:val="0"/>
      <w:divBdr>
        <w:top w:val="none" w:sz="0" w:space="0" w:color="auto"/>
        <w:left w:val="none" w:sz="0" w:space="0" w:color="auto"/>
        <w:bottom w:val="none" w:sz="0" w:space="0" w:color="auto"/>
        <w:right w:val="none" w:sz="0" w:space="0" w:color="auto"/>
      </w:divBdr>
    </w:div>
    <w:div w:id="1192764634">
      <w:bodyDiv w:val="1"/>
      <w:marLeft w:val="0"/>
      <w:marRight w:val="0"/>
      <w:marTop w:val="0"/>
      <w:marBottom w:val="0"/>
      <w:divBdr>
        <w:top w:val="none" w:sz="0" w:space="0" w:color="auto"/>
        <w:left w:val="none" w:sz="0" w:space="0" w:color="auto"/>
        <w:bottom w:val="none" w:sz="0" w:space="0" w:color="auto"/>
        <w:right w:val="none" w:sz="0" w:space="0" w:color="auto"/>
      </w:divBdr>
    </w:div>
    <w:div w:id="15374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65967-D38A-4FAE-B6C1-801C3254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TOPICA Co,Ltd</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badrakh</cp:lastModifiedBy>
  <cp:revision>87</cp:revision>
  <cp:lastPrinted>2012-05-31T19:47:00Z</cp:lastPrinted>
  <dcterms:created xsi:type="dcterms:W3CDTF">2012-05-26T05:08:00Z</dcterms:created>
  <dcterms:modified xsi:type="dcterms:W3CDTF">2013-04-26T07:41:00Z</dcterms:modified>
</cp:coreProperties>
</file>