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D6" w:rsidRDefault="003C56D6" w:rsidP="003C56D6">
      <w:pPr>
        <w:tabs>
          <w:tab w:val="left" w:pos="993"/>
        </w:tabs>
        <w:spacing w:line="240" w:lineRule="auto"/>
        <w:jc w:val="center"/>
        <w:rPr>
          <w:rFonts w:ascii="Arial" w:hAnsi="Arial" w:cs="Arial"/>
          <w:b/>
          <w:sz w:val="24"/>
          <w:szCs w:val="24"/>
        </w:rPr>
      </w:pPr>
      <w:r>
        <w:rPr>
          <w:rFonts w:ascii="Arial" w:hAnsi="Arial" w:cs="Arial"/>
          <w:b/>
          <w:noProof/>
          <w:sz w:val="24"/>
          <w:szCs w:val="24"/>
        </w:rPr>
        <w:drawing>
          <wp:inline distT="0" distB="0" distL="0" distR="0">
            <wp:extent cx="1198880" cy="1328420"/>
            <wp:effectExtent l="19050" t="0" r="1270" b="0"/>
            <wp:docPr id="1" name="Picture 1" descr="D:\04.30\SEH-nii shiidver\Soy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30\SEH-nii shiidver\Soyombo.JPG"/>
                    <pic:cNvPicPr>
                      <a:picLocks noChangeAspect="1" noChangeArrowheads="1"/>
                    </pic:cNvPicPr>
                  </pic:nvPicPr>
                  <pic:blipFill>
                    <a:blip r:embed="rId5"/>
                    <a:srcRect/>
                    <a:stretch>
                      <a:fillRect/>
                    </a:stretch>
                  </pic:blipFill>
                  <pic:spPr bwMode="auto">
                    <a:xfrm>
                      <a:off x="0" y="0"/>
                      <a:ext cx="1198880" cy="1328420"/>
                    </a:xfrm>
                    <a:prstGeom prst="rect">
                      <a:avLst/>
                    </a:prstGeom>
                    <a:noFill/>
                    <a:ln w="9525">
                      <a:noFill/>
                      <a:miter lim="800000"/>
                      <a:headEnd/>
                      <a:tailEnd/>
                    </a:ln>
                  </pic:spPr>
                </pic:pic>
              </a:graphicData>
            </a:graphic>
          </wp:inline>
        </w:drawing>
      </w:r>
    </w:p>
    <w:p w:rsidR="003C56D6" w:rsidRDefault="003C56D6" w:rsidP="003C56D6">
      <w:pPr>
        <w:tabs>
          <w:tab w:val="left" w:pos="993"/>
        </w:tabs>
        <w:spacing w:line="240" w:lineRule="auto"/>
        <w:jc w:val="center"/>
        <w:rPr>
          <w:rFonts w:ascii="Arial" w:hAnsi="Arial" w:cs="Arial"/>
          <w:b/>
          <w:sz w:val="24"/>
          <w:szCs w:val="24"/>
          <w:lang w:val="mn-MN"/>
        </w:rPr>
      </w:pPr>
      <w:r>
        <w:rPr>
          <w:rFonts w:ascii="Arial" w:hAnsi="Arial" w:cs="Arial"/>
          <w:b/>
          <w:sz w:val="24"/>
          <w:szCs w:val="24"/>
          <w:lang w:val="mn-MN"/>
        </w:rPr>
        <w:t>МОНГОЛ УЛСЫН</w:t>
      </w:r>
    </w:p>
    <w:p w:rsidR="003C56D6" w:rsidRDefault="003C56D6" w:rsidP="003C56D6">
      <w:pPr>
        <w:tabs>
          <w:tab w:val="left" w:pos="993"/>
        </w:tabs>
        <w:spacing w:line="240" w:lineRule="auto"/>
        <w:jc w:val="center"/>
        <w:rPr>
          <w:rFonts w:ascii="Arial" w:hAnsi="Arial" w:cs="Arial"/>
          <w:b/>
          <w:bCs/>
          <w:sz w:val="24"/>
          <w:szCs w:val="24"/>
          <w:lang w:val="mn-MN"/>
        </w:rPr>
      </w:pPr>
      <w:r>
        <w:rPr>
          <w:rFonts w:ascii="Arial" w:hAnsi="Arial" w:cs="Arial"/>
          <w:b/>
          <w:bCs/>
          <w:sz w:val="24"/>
          <w:szCs w:val="24"/>
          <w:lang w:val="mn-MN"/>
        </w:rPr>
        <w:t xml:space="preserve">СОНГУУЛИЙН ЕРӨНХИЙ ХОРООНЫ </w:t>
      </w:r>
    </w:p>
    <w:p w:rsidR="003C56D6" w:rsidRDefault="003C56D6" w:rsidP="003C56D6">
      <w:pPr>
        <w:tabs>
          <w:tab w:val="left" w:pos="993"/>
        </w:tabs>
        <w:spacing w:line="240" w:lineRule="auto"/>
        <w:jc w:val="center"/>
        <w:rPr>
          <w:rFonts w:ascii="Arial" w:hAnsi="Arial" w:cs="Arial"/>
          <w:b/>
          <w:bCs/>
          <w:sz w:val="24"/>
          <w:szCs w:val="24"/>
          <w:lang w:val="mn-MN"/>
        </w:rPr>
      </w:pPr>
      <w:r>
        <w:rPr>
          <w:rFonts w:ascii="Arial" w:hAnsi="Arial" w:cs="Arial"/>
          <w:b/>
          <w:bCs/>
          <w:sz w:val="24"/>
          <w:szCs w:val="24"/>
          <w:lang w:val="mn-MN"/>
        </w:rPr>
        <w:t>ТОГТООЛ</w:t>
      </w:r>
    </w:p>
    <w:p w:rsidR="003C56D6" w:rsidRDefault="003C56D6" w:rsidP="003C56D6">
      <w:pPr>
        <w:tabs>
          <w:tab w:val="left" w:pos="993"/>
        </w:tabs>
        <w:spacing w:line="240" w:lineRule="auto"/>
        <w:jc w:val="center"/>
        <w:rPr>
          <w:rFonts w:ascii="Arial" w:hAnsi="Arial" w:cs="Arial"/>
          <w:bCs/>
          <w:sz w:val="24"/>
          <w:szCs w:val="24"/>
          <w:lang w:val="mn-MN"/>
        </w:rPr>
      </w:pPr>
    </w:p>
    <w:p w:rsidR="003C56D6" w:rsidRDefault="003C56D6" w:rsidP="003C56D6">
      <w:pPr>
        <w:tabs>
          <w:tab w:val="left" w:pos="993"/>
        </w:tabs>
        <w:spacing w:line="240" w:lineRule="auto"/>
        <w:jc w:val="center"/>
        <w:rPr>
          <w:rFonts w:ascii="Arial" w:hAnsi="Arial" w:cs="Arial"/>
          <w:bCs/>
          <w:sz w:val="24"/>
          <w:szCs w:val="24"/>
          <w:lang w:val="mn-MN"/>
        </w:rPr>
      </w:pPr>
    </w:p>
    <w:p w:rsidR="003C56D6" w:rsidRDefault="003C56D6" w:rsidP="003C56D6">
      <w:pPr>
        <w:tabs>
          <w:tab w:val="left" w:pos="993"/>
        </w:tabs>
        <w:spacing w:line="240" w:lineRule="auto"/>
        <w:rPr>
          <w:rFonts w:ascii="Arial" w:hAnsi="Arial" w:cs="Arial"/>
          <w:bCs/>
          <w:sz w:val="24"/>
          <w:szCs w:val="24"/>
          <w:lang w:val="mn-MN"/>
        </w:rPr>
      </w:pPr>
      <w:r>
        <w:rPr>
          <w:rFonts w:ascii="Arial" w:hAnsi="Arial" w:cs="Arial"/>
          <w:bCs/>
          <w:sz w:val="24"/>
          <w:szCs w:val="24"/>
          <w:lang w:val="mn-MN"/>
        </w:rPr>
        <w:t>2012 оны 4 дүгээр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t xml:space="preserve">                                                         Улаанбаатар</w:t>
      </w:r>
    </w:p>
    <w:p w:rsidR="003C56D6" w:rsidRDefault="003C56D6" w:rsidP="003C56D6">
      <w:pPr>
        <w:tabs>
          <w:tab w:val="left" w:pos="993"/>
        </w:tabs>
        <w:spacing w:line="240" w:lineRule="auto"/>
        <w:rPr>
          <w:rFonts w:ascii="Arial" w:hAnsi="Arial" w:cs="Arial"/>
          <w:bCs/>
          <w:sz w:val="24"/>
          <w:szCs w:val="24"/>
          <w:lang w:val="mn-MN"/>
        </w:rPr>
      </w:pPr>
      <w:r>
        <w:rPr>
          <w:rFonts w:ascii="Arial" w:hAnsi="Arial" w:cs="Arial"/>
          <w:bCs/>
          <w:sz w:val="24"/>
          <w:szCs w:val="24"/>
          <w:lang w:val="mn-MN"/>
        </w:rPr>
        <w:t>сарын 20-ны өдөр                                 Дугаар 28                                               хот</w:t>
      </w:r>
    </w:p>
    <w:p w:rsidR="003C56D6" w:rsidRDefault="003C56D6" w:rsidP="003C56D6">
      <w:pPr>
        <w:jc w:val="right"/>
        <w:rPr>
          <w:rFonts w:ascii="Arial" w:hAnsi="Arial" w:cs="Arial"/>
          <w:sz w:val="24"/>
          <w:szCs w:val="24"/>
          <w:lang w:val="mn-MN"/>
        </w:rPr>
      </w:pPr>
      <w:r w:rsidRPr="00E6207C">
        <w:rPr>
          <w:rFonts w:ascii="Arial" w:hAnsi="Arial" w:cs="Arial"/>
          <w:sz w:val="24"/>
          <w:szCs w:val="24"/>
          <w:lang w:val="mn-MN"/>
        </w:rPr>
        <w:tab/>
      </w:r>
    </w:p>
    <w:p w:rsidR="003C56D6" w:rsidRDefault="003C56D6" w:rsidP="003C56D6">
      <w:pPr>
        <w:jc w:val="right"/>
        <w:rPr>
          <w:rFonts w:ascii="Arial" w:hAnsi="Arial" w:cs="Arial"/>
          <w:sz w:val="24"/>
          <w:szCs w:val="24"/>
          <w:lang w:val="mn-MN"/>
        </w:rPr>
      </w:pPr>
    </w:p>
    <w:p w:rsidR="003C56D6" w:rsidRPr="00E6207C" w:rsidRDefault="003C56D6" w:rsidP="003C56D6">
      <w:pPr>
        <w:spacing w:line="240" w:lineRule="auto"/>
        <w:rPr>
          <w:rFonts w:ascii="Arial" w:hAnsi="Arial" w:cs="Arial"/>
          <w:sz w:val="24"/>
          <w:szCs w:val="24"/>
          <w:lang w:val="mn-MN"/>
        </w:rPr>
      </w:pPr>
    </w:p>
    <w:p w:rsidR="003C56D6" w:rsidRPr="00E6207C" w:rsidRDefault="003C56D6" w:rsidP="003C56D6">
      <w:pPr>
        <w:spacing w:line="240" w:lineRule="auto"/>
        <w:rPr>
          <w:rFonts w:ascii="Arial" w:hAnsi="Arial" w:cs="Arial"/>
          <w:sz w:val="24"/>
          <w:szCs w:val="24"/>
          <w:lang w:val="mn-MN"/>
        </w:rPr>
      </w:pPr>
    </w:p>
    <w:p w:rsidR="003C56D6" w:rsidRDefault="003C56D6" w:rsidP="003C56D6">
      <w:pPr>
        <w:spacing w:line="240" w:lineRule="auto"/>
        <w:jc w:val="center"/>
        <w:rPr>
          <w:rFonts w:ascii="Arial" w:hAnsi="Arial" w:cs="Arial"/>
          <w:sz w:val="24"/>
          <w:szCs w:val="24"/>
          <w:lang w:val="mn-MN"/>
        </w:rPr>
      </w:pPr>
      <w:r>
        <w:rPr>
          <w:rFonts w:ascii="Arial" w:hAnsi="Arial" w:cs="Arial"/>
          <w:sz w:val="24"/>
          <w:szCs w:val="24"/>
          <w:lang w:val="mn-MN"/>
        </w:rPr>
        <w:t xml:space="preserve">Хяналтын хэсгийн ажиллах журам </w:t>
      </w:r>
    </w:p>
    <w:p w:rsidR="003C56D6" w:rsidRPr="00E6207C" w:rsidRDefault="003C56D6" w:rsidP="003C56D6">
      <w:pPr>
        <w:spacing w:line="240" w:lineRule="auto"/>
        <w:jc w:val="center"/>
        <w:rPr>
          <w:rFonts w:ascii="Arial" w:hAnsi="Arial" w:cs="Arial"/>
          <w:sz w:val="24"/>
          <w:szCs w:val="24"/>
          <w:lang w:val="mn-MN"/>
        </w:rPr>
      </w:pPr>
      <w:r>
        <w:rPr>
          <w:rFonts w:ascii="Arial" w:hAnsi="Arial" w:cs="Arial"/>
          <w:sz w:val="24"/>
          <w:szCs w:val="24"/>
          <w:lang w:val="mn-MN"/>
        </w:rPr>
        <w:t>батлах тухай</w:t>
      </w:r>
    </w:p>
    <w:p w:rsidR="003C56D6" w:rsidRPr="00E6207C" w:rsidRDefault="003C56D6" w:rsidP="003C56D6">
      <w:pPr>
        <w:spacing w:line="240" w:lineRule="auto"/>
        <w:rPr>
          <w:rFonts w:ascii="Arial" w:hAnsi="Arial" w:cs="Arial"/>
          <w:sz w:val="24"/>
          <w:szCs w:val="24"/>
          <w:lang w:val="mn-MN"/>
        </w:rPr>
      </w:pPr>
    </w:p>
    <w:p w:rsidR="003C56D6" w:rsidRPr="00E6207C" w:rsidRDefault="003C56D6" w:rsidP="003C56D6">
      <w:pPr>
        <w:spacing w:line="240" w:lineRule="auto"/>
        <w:rPr>
          <w:rFonts w:ascii="Arial" w:hAnsi="Arial" w:cs="Arial"/>
          <w:sz w:val="24"/>
          <w:szCs w:val="24"/>
          <w:lang w:val="mn-MN"/>
        </w:rPr>
      </w:pPr>
    </w:p>
    <w:p w:rsidR="003C56D6" w:rsidRPr="00E6207C" w:rsidRDefault="003C56D6" w:rsidP="003C56D6">
      <w:pPr>
        <w:spacing w:line="240" w:lineRule="auto"/>
        <w:rPr>
          <w:rFonts w:ascii="Arial" w:hAnsi="Arial" w:cs="Arial"/>
          <w:sz w:val="24"/>
          <w:szCs w:val="24"/>
          <w:lang w:val="mn-MN"/>
        </w:rPr>
      </w:pPr>
    </w:p>
    <w:p w:rsidR="003C56D6" w:rsidRPr="00E6207C" w:rsidRDefault="003C56D6" w:rsidP="003C56D6">
      <w:pPr>
        <w:rPr>
          <w:rFonts w:ascii="Arial" w:hAnsi="Arial" w:cs="Arial"/>
          <w:sz w:val="24"/>
          <w:szCs w:val="24"/>
          <w:lang w:val="mn-MN"/>
        </w:rPr>
      </w:pPr>
      <w:r w:rsidRPr="00E6207C">
        <w:rPr>
          <w:rFonts w:ascii="Arial" w:hAnsi="Arial" w:cs="Arial"/>
          <w:sz w:val="24"/>
          <w:szCs w:val="24"/>
          <w:lang w:val="mn-MN"/>
        </w:rPr>
        <w:tab/>
      </w:r>
      <w:r w:rsidRPr="001C5BFD">
        <w:rPr>
          <w:rFonts w:ascii="Arial" w:hAnsi="Arial" w:cs="Arial"/>
          <w:sz w:val="24"/>
          <w:szCs w:val="24"/>
          <w:lang w:val="mn-MN"/>
        </w:rPr>
        <w:t xml:space="preserve">Сонгуулийн автоматжуулсан системийн тухай хуулийн 9 дүгээр зүйлийн 9.2.1 дэх заалт, </w:t>
      </w:r>
      <w:r>
        <w:rPr>
          <w:rFonts w:ascii="Arial" w:hAnsi="Arial" w:cs="Arial"/>
          <w:sz w:val="24"/>
          <w:szCs w:val="24"/>
          <w:lang w:val="mn-MN"/>
        </w:rPr>
        <w:t>23</w:t>
      </w:r>
      <w:r w:rsidRPr="00E6207C">
        <w:rPr>
          <w:rFonts w:ascii="Arial" w:hAnsi="Arial" w:cs="Arial"/>
          <w:sz w:val="24"/>
          <w:szCs w:val="24"/>
          <w:lang w:val="mn-MN"/>
        </w:rPr>
        <w:t xml:space="preserve"> дугаар зүйлийн </w:t>
      </w:r>
      <w:r>
        <w:rPr>
          <w:rFonts w:ascii="Arial" w:hAnsi="Arial" w:cs="Arial"/>
          <w:sz w:val="24"/>
          <w:szCs w:val="24"/>
          <w:lang w:val="mn-MN"/>
        </w:rPr>
        <w:t>23.3</w:t>
      </w:r>
      <w:r w:rsidRPr="00E6207C">
        <w:rPr>
          <w:rFonts w:ascii="Arial" w:hAnsi="Arial" w:cs="Arial"/>
          <w:sz w:val="24"/>
          <w:szCs w:val="24"/>
          <w:lang w:val="mn-MN"/>
        </w:rPr>
        <w:t xml:space="preserve"> </w:t>
      </w:r>
      <w:r>
        <w:rPr>
          <w:rFonts w:ascii="Arial" w:hAnsi="Arial" w:cs="Arial"/>
          <w:sz w:val="24"/>
          <w:szCs w:val="24"/>
          <w:lang w:val="mn-MN"/>
        </w:rPr>
        <w:t>дахь</w:t>
      </w:r>
      <w:r w:rsidRPr="00E6207C">
        <w:rPr>
          <w:rFonts w:ascii="Arial" w:hAnsi="Arial" w:cs="Arial"/>
          <w:sz w:val="24"/>
          <w:szCs w:val="24"/>
          <w:lang w:val="mn-MN"/>
        </w:rPr>
        <w:t xml:space="preserve"> хэсэг, Сонгуулийн төв байгууллагын тухай хуулийн 7 дугаар зүйлийн 7.1.7 дахь заалт, 12 дугаар зүйлийн 12.3 дахь хэсгийг </w:t>
      </w:r>
      <w:r>
        <w:rPr>
          <w:rFonts w:ascii="Arial" w:hAnsi="Arial" w:cs="Arial"/>
          <w:sz w:val="24"/>
          <w:szCs w:val="24"/>
          <w:lang w:val="mn-MN"/>
        </w:rPr>
        <w:t xml:space="preserve">тус тус </w:t>
      </w:r>
      <w:r w:rsidRPr="00E6207C">
        <w:rPr>
          <w:rFonts w:ascii="Arial" w:hAnsi="Arial" w:cs="Arial"/>
          <w:sz w:val="24"/>
          <w:szCs w:val="24"/>
          <w:lang w:val="mn-MN"/>
        </w:rPr>
        <w:t xml:space="preserve">үндэслэн </w:t>
      </w:r>
      <w:r>
        <w:rPr>
          <w:rFonts w:ascii="Arial" w:hAnsi="Arial" w:cs="Arial"/>
          <w:sz w:val="24"/>
          <w:szCs w:val="24"/>
          <w:lang w:val="mn-MN"/>
        </w:rPr>
        <w:t xml:space="preserve">Монгол Улсын </w:t>
      </w:r>
      <w:r w:rsidRPr="00E6207C">
        <w:rPr>
          <w:rFonts w:ascii="Arial" w:hAnsi="Arial" w:cs="Arial"/>
          <w:sz w:val="24"/>
          <w:szCs w:val="24"/>
          <w:lang w:val="mn-MN"/>
        </w:rPr>
        <w:t>Сонгуулийн ерөнхий хорооноос ТОГТООХ нь:</w:t>
      </w:r>
    </w:p>
    <w:p w:rsidR="003C56D6" w:rsidRPr="00E6207C" w:rsidRDefault="003C56D6" w:rsidP="003C56D6">
      <w:pPr>
        <w:pStyle w:val="ListParagraph"/>
        <w:numPr>
          <w:ilvl w:val="0"/>
          <w:numId w:val="1"/>
        </w:numPr>
        <w:ind w:left="0" w:firstLine="1080"/>
        <w:rPr>
          <w:rFonts w:ascii="Arial" w:hAnsi="Arial" w:cs="Arial"/>
          <w:sz w:val="24"/>
          <w:szCs w:val="24"/>
          <w:lang w:val="mn-MN"/>
        </w:rPr>
      </w:pPr>
      <w:r w:rsidRPr="00E6207C">
        <w:rPr>
          <w:rFonts w:ascii="Arial" w:hAnsi="Arial" w:cs="Arial"/>
          <w:sz w:val="24"/>
          <w:szCs w:val="24"/>
          <w:lang w:val="mn-MN"/>
        </w:rPr>
        <w:t>“</w:t>
      </w:r>
      <w:r>
        <w:rPr>
          <w:rFonts w:ascii="Arial" w:hAnsi="Arial" w:cs="Arial"/>
          <w:sz w:val="24"/>
          <w:szCs w:val="24"/>
          <w:lang w:val="mn-MN"/>
        </w:rPr>
        <w:t>Хяналтын хэсгийн ажиллах журам</w:t>
      </w:r>
      <w:r w:rsidRPr="00E6207C">
        <w:rPr>
          <w:rFonts w:ascii="Arial" w:hAnsi="Arial" w:cs="Arial"/>
          <w:sz w:val="24"/>
          <w:szCs w:val="24"/>
          <w:lang w:val="mn-MN"/>
        </w:rPr>
        <w:t>”-ыг хавсралтаар баталсугай.</w:t>
      </w:r>
    </w:p>
    <w:p w:rsidR="003C56D6" w:rsidRPr="00E6207C" w:rsidRDefault="003C56D6" w:rsidP="003C56D6">
      <w:pPr>
        <w:pStyle w:val="ListParagraph"/>
        <w:numPr>
          <w:ilvl w:val="0"/>
          <w:numId w:val="1"/>
        </w:numPr>
        <w:ind w:left="0" w:firstLine="1080"/>
        <w:rPr>
          <w:rFonts w:ascii="Arial" w:hAnsi="Arial" w:cs="Arial"/>
          <w:sz w:val="24"/>
          <w:szCs w:val="24"/>
          <w:lang w:val="mn-MN"/>
        </w:rPr>
      </w:pPr>
      <w:r w:rsidRPr="00E6207C">
        <w:rPr>
          <w:rFonts w:ascii="Arial" w:hAnsi="Arial" w:cs="Arial"/>
          <w:sz w:val="24"/>
          <w:szCs w:val="24"/>
          <w:lang w:val="mn-MN"/>
        </w:rPr>
        <w:t>Энэ журмыг хэрэгжүүлж ажиллахыг сонгуулийн хороодын дарга, нарийн бичгийн дарга нарт тус тус даалгасугай.</w:t>
      </w:r>
    </w:p>
    <w:p w:rsidR="003C56D6" w:rsidRPr="00E6207C" w:rsidRDefault="003C56D6" w:rsidP="003C56D6">
      <w:pPr>
        <w:pStyle w:val="ListParagraph"/>
        <w:ind w:left="1080"/>
        <w:rPr>
          <w:rFonts w:ascii="Arial" w:hAnsi="Arial" w:cs="Arial"/>
          <w:sz w:val="24"/>
          <w:szCs w:val="24"/>
          <w:lang w:val="mn-MN"/>
        </w:rPr>
      </w:pPr>
    </w:p>
    <w:p w:rsidR="003C56D6" w:rsidRPr="00E6207C" w:rsidRDefault="003C56D6" w:rsidP="003C56D6">
      <w:pPr>
        <w:pStyle w:val="ListParagraph"/>
        <w:ind w:left="1080"/>
        <w:rPr>
          <w:rFonts w:ascii="Arial" w:hAnsi="Arial" w:cs="Arial"/>
          <w:sz w:val="24"/>
          <w:szCs w:val="24"/>
          <w:lang w:val="mn-MN"/>
        </w:rPr>
      </w:pPr>
    </w:p>
    <w:p w:rsidR="003C56D6" w:rsidRPr="00E6207C" w:rsidRDefault="003C56D6" w:rsidP="003C56D6">
      <w:pPr>
        <w:pStyle w:val="ListParagraph"/>
        <w:ind w:left="1080"/>
        <w:rPr>
          <w:rFonts w:ascii="Arial" w:hAnsi="Arial" w:cs="Arial"/>
          <w:sz w:val="24"/>
          <w:szCs w:val="24"/>
          <w:lang w:val="mn-MN"/>
        </w:rPr>
      </w:pPr>
    </w:p>
    <w:p w:rsidR="003C56D6" w:rsidRPr="002A7B2C" w:rsidRDefault="003C56D6" w:rsidP="003C56D6">
      <w:pPr>
        <w:ind w:left="720" w:firstLine="720"/>
        <w:rPr>
          <w:rFonts w:ascii="Arial" w:hAnsi="Arial" w:cs="Arial"/>
          <w:sz w:val="24"/>
          <w:szCs w:val="24"/>
          <w:lang w:val="mn-MN"/>
        </w:rPr>
      </w:pPr>
      <w:r w:rsidRPr="002A7B2C">
        <w:rPr>
          <w:rFonts w:ascii="Arial" w:hAnsi="Arial" w:cs="Arial"/>
          <w:sz w:val="24"/>
          <w:szCs w:val="24"/>
          <w:lang w:val="mn-MN"/>
        </w:rPr>
        <w:t xml:space="preserve">ДАРГА </w:t>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t xml:space="preserve">           Н.ЛУВСАНЖАВ</w:t>
      </w:r>
    </w:p>
    <w:p w:rsidR="003C56D6" w:rsidRPr="002A7B2C" w:rsidRDefault="003C56D6" w:rsidP="003C56D6">
      <w:pPr>
        <w:rPr>
          <w:rFonts w:ascii="Arial" w:hAnsi="Arial" w:cs="Arial"/>
          <w:sz w:val="24"/>
          <w:szCs w:val="24"/>
          <w:lang w:val="mn-MN"/>
        </w:rPr>
      </w:pPr>
    </w:p>
    <w:p w:rsidR="003C56D6" w:rsidRPr="00CE681B" w:rsidRDefault="003C56D6" w:rsidP="003C56D6">
      <w:pPr>
        <w:ind w:left="720" w:firstLine="720"/>
        <w:rPr>
          <w:rFonts w:ascii="Arial" w:hAnsi="Arial" w:cs="Arial"/>
          <w:sz w:val="24"/>
          <w:szCs w:val="24"/>
          <w:lang w:val="mn-MN"/>
        </w:rPr>
      </w:pPr>
      <w:r w:rsidRPr="002A7B2C">
        <w:rPr>
          <w:rFonts w:ascii="Arial" w:hAnsi="Arial" w:cs="Arial"/>
          <w:sz w:val="24"/>
          <w:szCs w:val="24"/>
          <w:lang w:val="mn-MN"/>
        </w:rPr>
        <w:t xml:space="preserve">НАРИЙН БИЧГИЙН ДАРГА </w:t>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r>
      <w:r w:rsidRPr="002A7B2C">
        <w:rPr>
          <w:rFonts w:ascii="Arial" w:hAnsi="Arial" w:cs="Arial"/>
          <w:sz w:val="24"/>
          <w:szCs w:val="24"/>
          <w:lang w:val="mn-MN"/>
        </w:rPr>
        <w:tab/>
        <w:t xml:space="preserve">   </w:t>
      </w:r>
      <w:r w:rsidRPr="002A7B2C">
        <w:rPr>
          <w:rFonts w:ascii="Arial" w:hAnsi="Arial" w:cs="Arial"/>
          <w:sz w:val="24"/>
          <w:szCs w:val="24"/>
          <w:lang w:val="mn-MN"/>
        </w:rPr>
        <w:tab/>
      </w:r>
      <w:r w:rsidRPr="00CE681B">
        <w:rPr>
          <w:rFonts w:ascii="Arial" w:hAnsi="Arial" w:cs="Arial"/>
          <w:sz w:val="24"/>
          <w:szCs w:val="24"/>
          <w:lang w:val="mn-MN"/>
        </w:rPr>
        <w:tab/>
      </w:r>
      <w:r w:rsidRPr="002A7B2C">
        <w:rPr>
          <w:rFonts w:ascii="Arial" w:hAnsi="Arial" w:cs="Arial"/>
          <w:sz w:val="24"/>
          <w:szCs w:val="24"/>
          <w:lang w:val="mn-MN"/>
        </w:rPr>
        <w:t>Ч.СОДНОМЦЭРЭН</w:t>
      </w:r>
    </w:p>
    <w:p w:rsidR="003C56D6" w:rsidRDefault="003C56D6" w:rsidP="003C56D6">
      <w:pPr>
        <w:rPr>
          <w:rFonts w:ascii="Arial" w:hAnsi="Arial" w:cs="Arial"/>
        </w:rPr>
      </w:pPr>
    </w:p>
    <w:p w:rsidR="003C56D6" w:rsidRPr="003C56D6" w:rsidRDefault="003C56D6" w:rsidP="003C56D6">
      <w:pPr>
        <w:rPr>
          <w:rFonts w:ascii="Arial" w:hAnsi="Arial" w:cs="Arial"/>
        </w:rPr>
      </w:pPr>
    </w:p>
    <w:p w:rsidR="003C56D6" w:rsidRPr="007C50E2" w:rsidRDefault="003C56D6" w:rsidP="003C56D6">
      <w:pPr>
        <w:jc w:val="center"/>
        <w:rPr>
          <w:rFonts w:ascii="Arial" w:hAnsi="Arial" w:cs="Arial"/>
          <w:lang w:val="mn-MN"/>
        </w:rPr>
      </w:pPr>
    </w:p>
    <w:p w:rsidR="003C56D6" w:rsidRPr="007C50E2" w:rsidRDefault="003C56D6" w:rsidP="003C56D6">
      <w:pPr>
        <w:jc w:val="center"/>
        <w:rPr>
          <w:rFonts w:ascii="Arial" w:hAnsi="Arial" w:cs="Arial"/>
          <w:lang w:val="mn-MN"/>
        </w:rPr>
      </w:pPr>
    </w:p>
    <w:p w:rsidR="003C56D6" w:rsidRPr="00CE681B" w:rsidRDefault="003C56D6" w:rsidP="003C56D6">
      <w:pPr>
        <w:tabs>
          <w:tab w:val="left" w:pos="567"/>
          <w:tab w:val="left" w:pos="851"/>
        </w:tabs>
        <w:spacing w:line="240" w:lineRule="auto"/>
        <w:jc w:val="center"/>
        <w:rPr>
          <w:rFonts w:ascii="Arial" w:hAnsi="Arial" w:cs="Arial"/>
          <w:sz w:val="24"/>
          <w:szCs w:val="24"/>
          <w:lang w:val="mn-MN"/>
        </w:rPr>
      </w:pPr>
      <w:r w:rsidRPr="00CE681B">
        <w:rPr>
          <w:rFonts w:ascii="Arial" w:hAnsi="Arial" w:cs="Arial"/>
          <w:sz w:val="24"/>
          <w:szCs w:val="24"/>
          <w:lang w:val="mn-MN"/>
        </w:rPr>
        <w:lastRenderedPageBreak/>
        <w:t xml:space="preserve">                                                                           </w:t>
      </w:r>
      <w:r w:rsidRPr="006D2A20">
        <w:rPr>
          <w:rFonts w:ascii="Arial" w:hAnsi="Arial" w:cs="Arial"/>
          <w:sz w:val="24"/>
          <w:szCs w:val="24"/>
          <w:lang w:val="mn-MN"/>
        </w:rPr>
        <w:t xml:space="preserve"> </w:t>
      </w:r>
      <w:r>
        <w:rPr>
          <w:rFonts w:ascii="Arial" w:hAnsi="Arial" w:cs="Arial"/>
          <w:sz w:val="24"/>
          <w:szCs w:val="24"/>
          <w:lang w:val="mn-MN"/>
        </w:rPr>
        <w:t>Сонгуулийн Е</w:t>
      </w:r>
      <w:r w:rsidRPr="00CE681B">
        <w:rPr>
          <w:rFonts w:ascii="Arial" w:hAnsi="Arial" w:cs="Arial"/>
          <w:sz w:val="24"/>
          <w:szCs w:val="24"/>
          <w:lang w:val="mn-MN"/>
        </w:rPr>
        <w:t xml:space="preserve">рөнхий </w:t>
      </w:r>
      <w:r>
        <w:rPr>
          <w:rFonts w:ascii="Arial" w:hAnsi="Arial" w:cs="Arial"/>
          <w:sz w:val="24"/>
          <w:szCs w:val="24"/>
          <w:lang w:val="mn-MN"/>
        </w:rPr>
        <w:t>Х</w:t>
      </w:r>
      <w:r w:rsidRPr="00CE681B">
        <w:rPr>
          <w:rFonts w:ascii="Arial" w:hAnsi="Arial" w:cs="Arial"/>
          <w:sz w:val="24"/>
          <w:szCs w:val="24"/>
          <w:lang w:val="mn-MN"/>
        </w:rPr>
        <w:t xml:space="preserve">орооны </w:t>
      </w:r>
    </w:p>
    <w:p w:rsidR="003C56D6" w:rsidRPr="00CE681B" w:rsidRDefault="003C56D6" w:rsidP="003C56D6">
      <w:pPr>
        <w:tabs>
          <w:tab w:val="left" w:pos="567"/>
          <w:tab w:val="left" w:pos="851"/>
        </w:tabs>
        <w:spacing w:line="240" w:lineRule="auto"/>
        <w:jc w:val="right"/>
        <w:rPr>
          <w:rFonts w:ascii="Arial" w:hAnsi="Arial" w:cs="Arial"/>
          <w:sz w:val="24"/>
          <w:szCs w:val="24"/>
          <w:lang w:val="mn-MN"/>
        </w:rPr>
      </w:pPr>
      <w:r w:rsidRPr="00CE681B">
        <w:rPr>
          <w:rFonts w:ascii="Arial" w:hAnsi="Arial" w:cs="Arial"/>
          <w:sz w:val="24"/>
          <w:szCs w:val="24"/>
          <w:lang w:val="mn-MN"/>
        </w:rPr>
        <w:t xml:space="preserve">                                                                      2012 оны </w:t>
      </w:r>
      <w:r>
        <w:rPr>
          <w:rFonts w:ascii="Arial" w:hAnsi="Arial" w:cs="Arial"/>
          <w:sz w:val="24"/>
          <w:szCs w:val="24"/>
          <w:lang w:val="mn-MN"/>
        </w:rPr>
        <w:t>4</w:t>
      </w:r>
      <w:r w:rsidRPr="006D2A20">
        <w:rPr>
          <w:rFonts w:ascii="Arial" w:hAnsi="Arial" w:cs="Arial"/>
          <w:sz w:val="24"/>
          <w:szCs w:val="24"/>
          <w:lang w:val="mn-MN"/>
        </w:rPr>
        <w:t xml:space="preserve"> </w:t>
      </w:r>
      <w:r>
        <w:rPr>
          <w:rFonts w:ascii="Arial" w:hAnsi="Arial" w:cs="Arial"/>
          <w:sz w:val="24"/>
          <w:szCs w:val="24"/>
          <w:lang w:val="mn-MN"/>
        </w:rPr>
        <w:t>дүгээ</w:t>
      </w:r>
      <w:r w:rsidRPr="006D2A20">
        <w:rPr>
          <w:rFonts w:ascii="Arial" w:hAnsi="Arial" w:cs="Arial"/>
          <w:sz w:val="24"/>
          <w:szCs w:val="24"/>
          <w:lang w:val="mn-MN"/>
        </w:rPr>
        <w:t xml:space="preserve">р </w:t>
      </w:r>
      <w:r w:rsidRPr="00CE681B">
        <w:rPr>
          <w:rFonts w:ascii="Arial" w:hAnsi="Arial" w:cs="Arial"/>
          <w:sz w:val="24"/>
          <w:szCs w:val="24"/>
          <w:lang w:val="mn-MN"/>
        </w:rPr>
        <w:t xml:space="preserve">сарын </w:t>
      </w:r>
      <w:r>
        <w:rPr>
          <w:rFonts w:ascii="Arial" w:hAnsi="Arial" w:cs="Arial"/>
          <w:sz w:val="24"/>
          <w:szCs w:val="24"/>
          <w:lang w:val="mn-MN"/>
        </w:rPr>
        <w:t>20-</w:t>
      </w:r>
      <w:r w:rsidRPr="00CE681B">
        <w:rPr>
          <w:rFonts w:ascii="Arial" w:hAnsi="Arial" w:cs="Arial"/>
          <w:sz w:val="24"/>
          <w:szCs w:val="24"/>
          <w:lang w:val="mn-MN"/>
        </w:rPr>
        <w:t>н</w:t>
      </w:r>
      <w:r>
        <w:rPr>
          <w:rFonts w:ascii="Arial" w:hAnsi="Arial" w:cs="Arial"/>
          <w:sz w:val="24"/>
          <w:szCs w:val="24"/>
          <w:lang w:val="mn-MN"/>
        </w:rPr>
        <w:t>ы</w:t>
      </w:r>
      <w:r w:rsidRPr="00CE681B">
        <w:rPr>
          <w:rFonts w:ascii="Arial" w:hAnsi="Arial" w:cs="Arial"/>
          <w:sz w:val="24"/>
          <w:szCs w:val="24"/>
          <w:lang w:val="mn-MN"/>
        </w:rPr>
        <w:t xml:space="preserve"> өдрийн </w:t>
      </w:r>
    </w:p>
    <w:p w:rsidR="003C56D6" w:rsidRPr="006D2A20" w:rsidRDefault="003C56D6" w:rsidP="003C56D6">
      <w:pPr>
        <w:tabs>
          <w:tab w:val="left" w:pos="567"/>
          <w:tab w:val="left" w:pos="851"/>
        </w:tabs>
        <w:spacing w:line="240" w:lineRule="auto"/>
        <w:jc w:val="center"/>
        <w:rPr>
          <w:rFonts w:ascii="Arial" w:hAnsi="Arial" w:cs="Arial"/>
          <w:sz w:val="24"/>
          <w:szCs w:val="24"/>
          <w:lang w:val="mn-MN"/>
        </w:rPr>
      </w:pPr>
      <w:r w:rsidRPr="00CE681B">
        <w:rPr>
          <w:rFonts w:ascii="Arial" w:hAnsi="Arial" w:cs="Arial"/>
          <w:sz w:val="24"/>
          <w:szCs w:val="24"/>
          <w:lang w:val="mn-MN"/>
        </w:rPr>
        <w:t xml:space="preserve">                                                                            </w:t>
      </w:r>
      <w:r>
        <w:rPr>
          <w:rFonts w:ascii="Arial" w:hAnsi="Arial" w:cs="Arial"/>
          <w:sz w:val="24"/>
          <w:szCs w:val="24"/>
          <w:lang w:val="mn-MN"/>
        </w:rPr>
        <w:t>28</w:t>
      </w:r>
      <w:r w:rsidRPr="00CE681B">
        <w:rPr>
          <w:rFonts w:ascii="Arial" w:hAnsi="Arial" w:cs="Arial"/>
          <w:sz w:val="24"/>
          <w:szCs w:val="24"/>
          <w:lang w:val="mn-MN"/>
        </w:rPr>
        <w:t xml:space="preserve"> дугаар тогтоолын хавсралт</w:t>
      </w:r>
    </w:p>
    <w:p w:rsidR="003C56D6" w:rsidRPr="006D2A20" w:rsidRDefault="003C56D6" w:rsidP="003C56D6">
      <w:pPr>
        <w:tabs>
          <w:tab w:val="left" w:pos="567"/>
          <w:tab w:val="left" w:pos="851"/>
        </w:tabs>
        <w:spacing w:line="240" w:lineRule="auto"/>
        <w:jc w:val="center"/>
        <w:rPr>
          <w:rFonts w:ascii="Arial" w:hAnsi="Arial" w:cs="Arial"/>
          <w:sz w:val="24"/>
          <w:szCs w:val="24"/>
          <w:lang w:val="mn-MN"/>
        </w:rPr>
      </w:pPr>
    </w:p>
    <w:p w:rsidR="003C56D6" w:rsidRPr="006D2A20" w:rsidRDefault="003C56D6" w:rsidP="003C56D6">
      <w:pPr>
        <w:spacing w:line="240" w:lineRule="auto"/>
        <w:rPr>
          <w:rFonts w:ascii="Arial" w:hAnsi="Arial" w:cs="Arial"/>
          <w:sz w:val="24"/>
          <w:szCs w:val="24"/>
          <w:lang w:val="mn-MN"/>
        </w:rPr>
      </w:pPr>
    </w:p>
    <w:p w:rsidR="003C56D6" w:rsidRPr="006D2A20" w:rsidRDefault="003C56D6" w:rsidP="003C56D6">
      <w:pPr>
        <w:spacing w:line="240" w:lineRule="auto"/>
        <w:jc w:val="center"/>
        <w:rPr>
          <w:rFonts w:ascii="Arial" w:hAnsi="Arial" w:cs="Arial"/>
          <w:b/>
          <w:sz w:val="24"/>
          <w:szCs w:val="24"/>
          <w:lang w:val="mn-MN"/>
        </w:rPr>
      </w:pPr>
      <w:r w:rsidRPr="006D2A20">
        <w:rPr>
          <w:rFonts w:ascii="Arial" w:hAnsi="Arial" w:cs="Arial"/>
          <w:b/>
          <w:sz w:val="24"/>
          <w:szCs w:val="24"/>
          <w:lang w:val="mn-MN"/>
        </w:rPr>
        <w:t>ХЯНАЛТЫН ХЭСГИЙН АЖИЛЛАХ ЖУРАМ</w:t>
      </w:r>
    </w:p>
    <w:p w:rsidR="003C56D6" w:rsidRDefault="003C56D6" w:rsidP="003C56D6">
      <w:pPr>
        <w:spacing w:line="240" w:lineRule="auto"/>
        <w:rPr>
          <w:rFonts w:ascii="Arial" w:hAnsi="Arial" w:cs="Arial"/>
          <w:sz w:val="24"/>
          <w:szCs w:val="24"/>
          <w:lang w:val="mn-MN"/>
        </w:rPr>
      </w:pPr>
    </w:p>
    <w:p w:rsidR="003C56D6" w:rsidRPr="006D2A20" w:rsidRDefault="003C56D6" w:rsidP="003C56D6">
      <w:pPr>
        <w:spacing w:line="240" w:lineRule="auto"/>
        <w:rPr>
          <w:rFonts w:ascii="Arial" w:hAnsi="Arial" w:cs="Arial"/>
          <w:sz w:val="24"/>
          <w:szCs w:val="24"/>
          <w:lang w:val="mn-MN"/>
        </w:rPr>
      </w:pPr>
    </w:p>
    <w:p w:rsidR="003C56D6" w:rsidRPr="003A4765" w:rsidRDefault="003C56D6" w:rsidP="003C56D6">
      <w:pPr>
        <w:spacing w:line="240" w:lineRule="auto"/>
        <w:jc w:val="center"/>
        <w:rPr>
          <w:rFonts w:ascii="Arial" w:hAnsi="Arial" w:cs="Arial"/>
          <w:b/>
          <w:i/>
          <w:sz w:val="24"/>
          <w:szCs w:val="24"/>
          <w:lang w:val="mn-MN"/>
        </w:rPr>
      </w:pPr>
      <w:r w:rsidRPr="003A4765">
        <w:rPr>
          <w:rFonts w:ascii="Arial" w:hAnsi="Arial" w:cs="Arial"/>
          <w:b/>
          <w:sz w:val="24"/>
          <w:szCs w:val="24"/>
          <w:lang w:val="mn-MN"/>
        </w:rPr>
        <w:t xml:space="preserve">Нэг. </w:t>
      </w:r>
      <w:r w:rsidRPr="003A4765">
        <w:rPr>
          <w:rFonts w:ascii="Arial" w:hAnsi="Arial" w:cs="Arial"/>
          <w:b/>
          <w:i/>
          <w:sz w:val="24"/>
          <w:szCs w:val="24"/>
          <w:lang w:val="mn-MN"/>
        </w:rPr>
        <w:t>Нийтлэг үндэслэл</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1.1. Энэхүү журмаар </w:t>
      </w:r>
      <w:r>
        <w:rPr>
          <w:rFonts w:ascii="Arial" w:hAnsi="Arial" w:cs="Arial"/>
          <w:sz w:val="24"/>
          <w:szCs w:val="24"/>
          <w:lang w:val="mn-MN"/>
        </w:rPr>
        <w:t>Сонгуулийн автоматжуулсан системийн</w:t>
      </w:r>
      <w:r w:rsidRPr="006D2A20">
        <w:rPr>
          <w:rFonts w:ascii="Arial" w:hAnsi="Arial" w:cs="Arial"/>
          <w:sz w:val="24"/>
          <w:szCs w:val="24"/>
          <w:lang w:val="mn-MN"/>
        </w:rPr>
        <w:t xml:space="preserve"> тухай хуулийн 23 дугаар зүйлд заасны дагуу сонгууль зохион байгуулахад сонгуулийн автоматжуулсан систем, түүний иж бүрдлийг ашиглах явцад тухайн сонгуулийн хорооноос холбогдох хууль тогтоомж, дүрэм, журам, зааврын биелэлтэд хяналт тавих үүрэг бүхий Хяналтын хэсгийг /цаашид “Хяналтын хэсэг” гэх/ сонгуулийн бүх шатны хороодоос байгуулах, Хяналтын хэсгээс хууль тогтоомжийн хүрээнд үйл ажиллагаагаа явуулахтай холбогдсон харилцааг зохицуулна. </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1.</w:t>
      </w:r>
      <w:r>
        <w:rPr>
          <w:rFonts w:ascii="Arial" w:hAnsi="Arial" w:cs="Arial"/>
          <w:sz w:val="24"/>
          <w:szCs w:val="24"/>
          <w:lang w:val="mn-MN"/>
        </w:rPr>
        <w:t>2. Хяналтын хэсгийг Сонгуулийн Е</w:t>
      </w:r>
      <w:r w:rsidRPr="006D2A20">
        <w:rPr>
          <w:rFonts w:ascii="Arial" w:hAnsi="Arial" w:cs="Arial"/>
          <w:sz w:val="24"/>
          <w:szCs w:val="24"/>
          <w:lang w:val="mn-MN"/>
        </w:rPr>
        <w:t xml:space="preserve">рөнхий </w:t>
      </w:r>
      <w:r>
        <w:rPr>
          <w:rFonts w:ascii="Arial" w:hAnsi="Arial" w:cs="Arial"/>
          <w:sz w:val="24"/>
          <w:szCs w:val="24"/>
          <w:lang w:val="mn-MN"/>
        </w:rPr>
        <w:t>Х</w:t>
      </w:r>
      <w:r w:rsidRPr="006D2A20">
        <w:rPr>
          <w:rFonts w:ascii="Arial" w:hAnsi="Arial" w:cs="Arial"/>
          <w:sz w:val="24"/>
          <w:szCs w:val="24"/>
          <w:lang w:val="mn-MN"/>
        </w:rPr>
        <w:t>ороонд 3 гишүүний, сонгуулийн тойргийн</w:t>
      </w:r>
      <w:r>
        <w:rPr>
          <w:rFonts w:ascii="Arial" w:hAnsi="Arial" w:cs="Arial"/>
          <w:sz w:val="24"/>
          <w:szCs w:val="24"/>
          <w:lang w:val="mn-MN"/>
        </w:rPr>
        <w:t xml:space="preserve"> </w:t>
      </w:r>
      <w:r w:rsidRPr="00CE681B">
        <w:rPr>
          <w:rFonts w:ascii="Arial" w:hAnsi="Arial" w:cs="Arial"/>
          <w:sz w:val="24"/>
          <w:szCs w:val="24"/>
          <w:lang w:val="mn-MN"/>
        </w:rPr>
        <w:t>хороо, салбар хороо, аймаг, нийслэл, сум, дүүргийн сонгуулийн х</w:t>
      </w:r>
      <w:r w:rsidRPr="006D2A20">
        <w:rPr>
          <w:rFonts w:ascii="Arial" w:hAnsi="Arial" w:cs="Arial"/>
          <w:sz w:val="24"/>
          <w:szCs w:val="24"/>
          <w:lang w:val="mn-MN"/>
        </w:rPr>
        <w:t xml:space="preserve">ороонд 5 гишүүний, сонгуулийн хэсгийн хороонд 3 гишүүний бүрэлдэхүүнтэйгээр тухайн сонгуулийн хорооны гишүүдийн дотроос томилно. </w:t>
      </w:r>
    </w:p>
    <w:p w:rsidR="003C56D6" w:rsidRDefault="003C56D6" w:rsidP="003C56D6">
      <w:pPr>
        <w:spacing w:line="240" w:lineRule="auto"/>
        <w:rPr>
          <w:rFonts w:ascii="Arial" w:hAnsi="Arial" w:cs="Arial"/>
          <w:sz w:val="24"/>
          <w:szCs w:val="24"/>
          <w:lang w:val="mn-MN"/>
        </w:rPr>
      </w:pPr>
      <w:r>
        <w:rPr>
          <w:rFonts w:ascii="Arial" w:hAnsi="Arial" w:cs="Arial"/>
          <w:sz w:val="24"/>
          <w:szCs w:val="24"/>
          <w:lang w:val="mn-MN"/>
        </w:rPr>
        <w:tab/>
      </w: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1.3. Шаардлагатай бол Хяналтын хэсэг Сонгуулийн автоматжуулсан системийн тухай хуулийн 23 дугаар зүйлийн 23.4.8-д заасны дагуу мэдээллийн технологийн мэдлэг мэргэжил бүхий хүмүүсийг Хяналтын хэсгийн ажилд татан оролцуулж болно. </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1.4. Хяналтын хэсгийн бүрэлдэхүүнийг тухайн шатны сонгуулийн хороо</w:t>
      </w:r>
      <w:r>
        <w:rPr>
          <w:rFonts w:ascii="Arial" w:hAnsi="Arial" w:cs="Arial"/>
          <w:sz w:val="24"/>
          <w:szCs w:val="24"/>
          <w:lang w:val="mn-MN"/>
        </w:rPr>
        <w:t xml:space="preserve"> батална</w:t>
      </w:r>
      <w:r w:rsidRPr="006D2A20">
        <w:rPr>
          <w:rFonts w:ascii="Arial" w:hAnsi="Arial" w:cs="Arial"/>
          <w:sz w:val="24"/>
          <w:szCs w:val="24"/>
          <w:lang w:val="mn-MN"/>
        </w:rPr>
        <w:t xml:space="preserve">. </w:t>
      </w:r>
    </w:p>
    <w:p w:rsidR="003C56D6" w:rsidRPr="006D2A20" w:rsidRDefault="003C56D6" w:rsidP="003C56D6">
      <w:pPr>
        <w:spacing w:line="240" w:lineRule="auto"/>
        <w:rPr>
          <w:rFonts w:ascii="Arial" w:hAnsi="Arial" w:cs="Arial"/>
          <w:sz w:val="24"/>
          <w:szCs w:val="24"/>
          <w:lang w:val="mn-MN"/>
        </w:rPr>
      </w:pPr>
    </w:p>
    <w:p w:rsidR="003C56D6" w:rsidRPr="00CE681B"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1.5. Хяналтын хэсэг нь үйл ажиллагаандаа </w:t>
      </w:r>
      <w:r w:rsidRPr="00CE681B">
        <w:rPr>
          <w:rFonts w:ascii="Arial" w:hAnsi="Arial" w:cs="Arial"/>
          <w:sz w:val="24"/>
          <w:szCs w:val="24"/>
          <w:lang w:val="mn-MN"/>
        </w:rPr>
        <w:t xml:space="preserve">холбогдох сонгуулийн хууль тогтоомжийг  баримталж ажиллана. </w:t>
      </w: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r>
    </w:p>
    <w:p w:rsidR="003C56D6" w:rsidRPr="003A4765" w:rsidRDefault="003C56D6" w:rsidP="003C56D6">
      <w:pPr>
        <w:spacing w:line="240" w:lineRule="auto"/>
        <w:jc w:val="center"/>
        <w:rPr>
          <w:rFonts w:ascii="Arial" w:hAnsi="Arial" w:cs="Arial"/>
          <w:b/>
          <w:sz w:val="24"/>
          <w:szCs w:val="24"/>
          <w:lang w:val="mn-MN"/>
        </w:rPr>
      </w:pPr>
      <w:r w:rsidRPr="003A4765">
        <w:rPr>
          <w:rFonts w:ascii="Arial" w:hAnsi="Arial" w:cs="Arial"/>
          <w:b/>
          <w:sz w:val="24"/>
          <w:szCs w:val="24"/>
          <w:lang w:val="mn-MN"/>
        </w:rPr>
        <w:t xml:space="preserve">Хоёр. </w:t>
      </w:r>
      <w:r w:rsidRPr="003A4765">
        <w:rPr>
          <w:rFonts w:ascii="Arial" w:hAnsi="Arial" w:cs="Arial"/>
          <w:b/>
          <w:i/>
          <w:sz w:val="24"/>
          <w:szCs w:val="24"/>
          <w:lang w:val="mn-MN"/>
        </w:rPr>
        <w:t>Хяналтын хэсгийн үйл ажиллагаа</w:t>
      </w:r>
    </w:p>
    <w:p w:rsidR="003C56D6" w:rsidRPr="006D2A20" w:rsidRDefault="003C56D6" w:rsidP="003C56D6">
      <w:pPr>
        <w:spacing w:line="240" w:lineRule="auto"/>
        <w:rPr>
          <w:rFonts w:ascii="Arial" w:hAnsi="Arial" w:cs="Arial"/>
          <w:sz w:val="24"/>
          <w:szCs w:val="24"/>
          <w:lang w:val="mn-MN"/>
        </w:rPr>
      </w:pPr>
    </w:p>
    <w:p w:rsidR="003C56D6" w:rsidRPr="006D2A20"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2.1. Хяналтын хэсэг дараах эрх эдэлнэ:</w:t>
      </w:r>
    </w:p>
    <w:p w:rsidR="003C56D6" w:rsidRPr="006D2A20" w:rsidRDefault="003C56D6" w:rsidP="003C56D6">
      <w:pPr>
        <w:spacing w:line="240" w:lineRule="auto"/>
        <w:ind w:firstLine="1429"/>
        <w:rPr>
          <w:rFonts w:ascii="Arial" w:hAnsi="Arial" w:cs="Arial"/>
          <w:sz w:val="24"/>
          <w:szCs w:val="24"/>
          <w:lang w:val="mn-MN"/>
        </w:rPr>
      </w:pPr>
      <w:r w:rsidRPr="006D2A20">
        <w:rPr>
          <w:rFonts w:ascii="Arial" w:hAnsi="Arial" w:cs="Arial"/>
          <w:sz w:val="24"/>
          <w:szCs w:val="24"/>
          <w:lang w:val="mn-MN"/>
        </w:rPr>
        <w:t>2.1.1. сонгуулийн автоматжуулсан системийн техник, хэрэгсэл, тоног төхөөрөмж, автоматжуулах хэрэгслийн иж бүрдлийн ашиглалтын бэлэн байдлыг  шалгах</w:t>
      </w:r>
      <w:r w:rsidRPr="00CE681B">
        <w:rPr>
          <w:rFonts w:ascii="Arial" w:hAnsi="Arial" w:cs="Arial"/>
          <w:sz w:val="24"/>
          <w:szCs w:val="24"/>
          <w:lang w:val="mn-MN"/>
        </w:rPr>
        <w:t>;</w:t>
      </w:r>
    </w:p>
    <w:p w:rsidR="003C56D6"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2.1.2. сонгуулийн автоматжуулсан системийг ашиглахтай холбогдуулан</w:t>
      </w:r>
      <w:r>
        <w:rPr>
          <w:rFonts w:ascii="Arial" w:hAnsi="Arial" w:cs="Arial"/>
          <w:sz w:val="24"/>
          <w:szCs w:val="24"/>
          <w:lang w:val="mn-MN"/>
        </w:rPr>
        <w:t xml:space="preserve"> </w:t>
      </w:r>
      <w:r w:rsidRPr="00CE681B">
        <w:rPr>
          <w:rFonts w:ascii="Arial" w:hAnsi="Arial" w:cs="Arial"/>
          <w:sz w:val="24"/>
          <w:szCs w:val="24"/>
          <w:lang w:val="mn-MN"/>
        </w:rPr>
        <w:t>сонгуулийн хууль болон</w:t>
      </w:r>
      <w:r w:rsidRPr="006D2A20">
        <w:rPr>
          <w:rFonts w:ascii="Arial" w:hAnsi="Arial" w:cs="Arial"/>
          <w:sz w:val="24"/>
          <w:szCs w:val="24"/>
          <w:lang w:val="mn-MN"/>
        </w:rPr>
        <w:t xml:space="preserve"> Сонгуулийн </w:t>
      </w:r>
      <w:r>
        <w:rPr>
          <w:rFonts w:ascii="Arial" w:hAnsi="Arial" w:cs="Arial"/>
          <w:sz w:val="24"/>
          <w:szCs w:val="24"/>
          <w:lang w:val="mn-MN"/>
        </w:rPr>
        <w:t>Е</w:t>
      </w:r>
      <w:r w:rsidRPr="006D2A20">
        <w:rPr>
          <w:rFonts w:ascii="Arial" w:hAnsi="Arial" w:cs="Arial"/>
          <w:sz w:val="24"/>
          <w:szCs w:val="24"/>
          <w:lang w:val="mn-MN"/>
        </w:rPr>
        <w:t xml:space="preserve">рөнхий </w:t>
      </w:r>
      <w:r>
        <w:rPr>
          <w:rFonts w:ascii="Arial" w:hAnsi="Arial" w:cs="Arial"/>
          <w:sz w:val="24"/>
          <w:szCs w:val="24"/>
          <w:lang w:val="mn-MN"/>
        </w:rPr>
        <w:t>Х</w:t>
      </w:r>
      <w:r w:rsidRPr="006D2A20">
        <w:rPr>
          <w:rFonts w:ascii="Arial" w:hAnsi="Arial" w:cs="Arial"/>
          <w:sz w:val="24"/>
          <w:szCs w:val="24"/>
          <w:lang w:val="mn-MN"/>
        </w:rPr>
        <w:t>ороо, Мэдээллийн технологийн төвөөс баталсан журам, зааврыг нэг мөр дагаж мөрдөж байгаа эсэхийг хянах</w:t>
      </w:r>
      <w:r w:rsidRPr="00CE681B">
        <w:rPr>
          <w:rFonts w:ascii="Arial" w:hAnsi="Arial" w:cs="Arial"/>
          <w:sz w:val="24"/>
          <w:szCs w:val="24"/>
          <w:lang w:val="mn-MN"/>
        </w:rPr>
        <w:t>;</w:t>
      </w:r>
    </w:p>
    <w:p w:rsidR="003C56D6" w:rsidRPr="006D2A20"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2.1.3. хяналт шалгалтын чи</w:t>
      </w:r>
      <w:r>
        <w:rPr>
          <w:rFonts w:ascii="Arial" w:hAnsi="Arial" w:cs="Arial"/>
          <w:sz w:val="24"/>
          <w:szCs w:val="24"/>
          <w:lang w:val="mn-MN"/>
        </w:rPr>
        <w:t>г</w:t>
      </w:r>
      <w:r w:rsidRPr="006D2A20">
        <w:rPr>
          <w:rFonts w:ascii="Arial" w:hAnsi="Arial" w:cs="Arial"/>
          <w:sz w:val="24"/>
          <w:szCs w:val="24"/>
          <w:lang w:val="mn-MN"/>
        </w:rPr>
        <w:t xml:space="preserve"> үүргээ хэрэгжүүлэх зорилгоор сонгуулийн автоматжуулсан системд </w:t>
      </w:r>
      <w:r>
        <w:rPr>
          <w:rFonts w:ascii="Arial" w:hAnsi="Arial" w:cs="Arial"/>
          <w:sz w:val="24"/>
          <w:szCs w:val="24"/>
          <w:lang w:val="mn-MN"/>
        </w:rPr>
        <w:t>орсон</w:t>
      </w:r>
      <w:r w:rsidRPr="006D2A20">
        <w:rPr>
          <w:rFonts w:ascii="Arial" w:hAnsi="Arial" w:cs="Arial"/>
          <w:sz w:val="24"/>
          <w:szCs w:val="24"/>
          <w:lang w:val="mn-MN"/>
        </w:rPr>
        <w:t>, түүнээс гаргасан, зохих сонгуулийн хороонд дамжуулсан аливаа мэдээлэл, баримт бичигтэй танилцах</w:t>
      </w:r>
      <w:r w:rsidRPr="00CE681B">
        <w:rPr>
          <w:rFonts w:ascii="Arial" w:hAnsi="Arial" w:cs="Arial"/>
          <w:sz w:val="24"/>
          <w:szCs w:val="24"/>
          <w:lang w:val="mn-MN"/>
        </w:rPr>
        <w:t>;</w:t>
      </w:r>
    </w:p>
    <w:p w:rsidR="003C56D6" w:rsidRPr="006D2A20"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 xml:space="preserve">2.1.4. сонгуулийн хороодоос сонгуулийн тоо баримтын талаарх мэдээллийг сонгуулийн автоматжуулсан системд үнэн зөв </w:t>
      </w:r>
      <w:r>
        <w:rPr>
          <w:rFonts w:ascii="Arial" w:hAnsi="Arial" w:cs="Arial"/>
          <w:sz w:val="24"/>
          <w:szCs w:val="24"/>
          <w:lang w:val="mn-MN"/>
        </w:rPr>
        <w:t>орсон</w:t>
      </w:r>
      <w:r w:rsidRPr="006D2A20">
        <w:rPr>
          <w:rFonts w:ascii="Arial" w:hAnsi="Arial" w:cs="Arial"/>
          <w:sz w:val="24"/>
          <w:szCs w:val="24"/>
          <w:lang w:val="mn-MN"/>
        </w:rPr>
        <w:t xml:space="preserve"> эсэх, мэдээлэлд зохих сонгуулийн хорооны шийдвэрээр засвар, нэмэлт, өөрчлөлт хийсэн бол түүнийг үнэн зөв </w:t>
      </w:r>
      <w:r>
        <w:rPr>
          <w:rFonts w:ascii="Arial" w:hAnsi="Arial" w:cs="Arial"/>
          <w:sz w:val="24"/>
          <w:szCs w:val="24"/>
          <w:lang w:val="mn-MN"/>
        </w:rPr>
        <w:t>орсон</w:t>
      </w:r>
      <w:r w:rsidRPr="006D2A20">
        <w:rPr>
          <w:rFonts w:ascii="Arial" w:hAnsi="Arial" w:cs="Arial"/>
          <w:sz w:val="24"/>
          <w:szCs w:val="24"/>
          <w:lang w:val="mn-MN"/>
        </w:rPr>
        <w:t xml:space="preserve"> эсэхийг хянах</w:t>
      </w:r>
      <w:r w:rsidRPr="00CE681B">
        <w:rPr>
          <w:rFonts w:ascii="Arial" w:hAnsi="Arial" w:cs="Arial"/>
          <w:sz w:val="24"/>
          <w:szCs w:val="24"/>
          <w:lang w:val="mn-MN"/>
        </w:rPr>
        <w:t>;</w:t>
      </w:r>
    </w:p>
    <w:p w:rsidR="003C56D6"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lastRenderedPageBreak/>
        <w:t xml:space="preserve">2.1.5. </w:t>
      </w:r>
      <w:r>
        <w:rPr>
          <w:rFonts w:ascii="Arial" w:hAnsi="Arial" w:cs="Arial"/>
          <w:sz w:val="24"/>
          <w:szCs w:val="24"/>
          <w:lang w:val="mn-MN"/>
        </w:rPr>
        <w:t xml:space="preserve">Сонгуулийн Ерөнхий Хороо </w:t>
      </w:r>
      <w:r w:rsidRPr="00CE681B">
        <w:rPr>
          <w:rFonts w:ascii="Arial" w:hAnsi="Arial" w:cs="Arial"/>
          <w:sz w:val="24"/>
          <w:szCs w:val="24"/>
          <w:lang w:val="mn-MN"/>
        </w:rPr>
        <w:t>болон холбогдох с</w:t>
      </w:r>
      <w:r w:rsidRPr="00EC0A87">
        <w:rPr>
          <w:rFonts w:ascii="Arial" w:hAnsi="Arial" w:cs="Arial"/>
          <w:sz w:val="24"/>
          <w:szCs w:val="24"/>
          <w:lang w:val="mn-MN"/>
        </w:rPr>
        <w:t xml:space="preserve">онгуулийн </w:t>
      </w:r>
      <w:r w:rsidRPr="00CE681B">
        <w:rPr>
          <w:rFonts w:ascii="Arial" w:hAnsi="Arial" w:cs="Arial"/>
          <w:sz w:val="24"/>
          <w:szCs w:val="24"/>
          <w:lang w:val="mn-MN"/>
        </w:rPr>
        <w:t>хороод</w:t>
      </w:r>
      <w:r>
        <w:rPr>
          <w:rFonts w:ascii="Arial" w:hAnsi="Arial" w:cs="Arial"/>
          <w:sz w:val="24"/>
          <w:szCs w:val="24"/>
          <w:lang w:val="mn-MN"/>
        </w:rPr>
        <w:t xml:space="preserve"> нь доод шатны хороодоос ирүүлсэн санал тоолох төхөөрөмжийн дүнг нэгтгэхдээ </w:t>
      </w:r>
      <w:r w:rsidRPr="006D2A20">
        <w:rPr>
          <w:rFonts w:ascii="Arial" w:hAnsi="Arial" w:cs="Arial"/>
          <w:sz w:val="24"/>
          <w:szCs w:val="24"/>
          <w:lang w:val="mn-MN"/>
        </w:rPr>
        <w:t xml:space="preserve">мэдээллийг гараар болон автоматжуулсан хэлбэрээр боловсруулсан дүнг </w:t>
      </w:r>
      <w:r w:rsidRPr="00272DFC">
        <w:rPr>
          <w:rFonts w:ascii="Arial" w:hAnsi="Arial" w:cs="Arial"/>
          <w:sz w:val="24"/>
          <w:szCs w:val="24"/>
          <w:lang w:val="mn-MN"/>
        </w:rPr>
        <w:t>харьцуу</w:t>
      </w:r>
      <w:r>
        <w:rPr>
          <w:rFonts w:ascii="Arial" w:hAnsi="Arial" w:cs="Arial"/>
          <w:sz w:val="24"/>
          <w:szCs w:val="24"/>
          <w:lang w:val="mn-MN"/>
        </w:rPr>
        <w:t>л</w:t>
      </w:r>
      <w:r w:rsidRPr="00272DFC">
        <w:rPr>
          <w:rFonts w:ascii="Arial" w:hAnsi="Arial" w:cs="Arial"/>
          <w:sz w:val="24"/>
          <w:szCs w:val="24"/>
          <w:lang w:val="mn-MN"/>
        </w:rPr>
        <w:t>ах</w:t>
      </w:r>
      <w:r w:rsidRPr="00CE681B">
        <w:rPr>
          <w:rFonts w:ascii="Arial" w:hAnsi="Arial" w:cs="Arial"/>
          <w:sz w:val="24"/>
          <w:szCs w:val="24"/>
          <w:lang w:val="mn-MN"/>
        </w:rPr>
        <w:t>;</w:t>
      </w:r>
    </w:p>
    <w:p w:rsidR="003C56D6" w:rsidRPr="006D2A20"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2.1.6. тухайн сонгуулийн хороонд автоматжуулах хэрэгслийн иж бүрдлийг хариуцан ажиллаж байгаа албан тушаалтан, мэдээллийн технологийн даамал, бусад ажилтнаас тайлбар гаргуулан авах</w:t>
      </w:r>
      <w:r w:rsidRPr="00CE681B">
        <w:rPr>
          <w:rFonts w:ascii="Arial" w:hAnsi="Arial" w:cs="Arial"/>
          <w:sz w:val="24"/>
          <w:szCs w:val="24"/>
          <w:lang w:val="mn-MN"/>
        </w:rPr>
        <w:t>;</w:t>
      </w:r>
    </w:p>
    <w:p w:rsidR="003C56D6" w:rsidRPr="006D2A20"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2.1.7. сонгуулийн автоматжуулсан системийг ашиглан мэдээллийн ажиллагаа явуулахад энэ тухай тэмдэглэл үйлдэх, бүртгэл хөтлөх, мэдээллийг цахим төхөөрөмжөөр хэвлэн баталгаажуулах, цахим гарын үсэг зурах зэрэг хууль журамд заасан үйлдлийг заавал хэрэгжүүлж байгаа эсэхэд хяналт тавих</w:t>
      </w:r>
      <w:r w:rsidRPr="00CE681B">
        <w:rPr>
          <w:rFonts w:ascii="Arial" w:hAnsi="Arial" w:cs="Arial"/>
          <w:sz w:val="24"/>
          <w:szCs w:val="24"/>
          <w:lang w:val="mn-MN"/>
        </w:rPr>
        <w:t>;</w:t>
      </w:r>
    </w:p>
    <w:p w:rsidR="003C56D6" w:rsidRPr="006D2A20"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2.1.8. хяналт шалгалтын ажилд зохих эрх бүхий шинжээч, мэргэжилтнийг татан оролцуулах асуудлыг тухайн сонгуулийн хороонд тавих</w:t>
      </w:r>
      <w:r w:rsidRPr="00CE681B">
        <w:rPr>
          <w:rFonts w:ascii="Arial" w:hAnsi="Arial" w:cs="Arial"/>
          <w:sz w:val="24"/>
          <w:szCs w:val="24"/>
          <w:lang w:val="mn-MN"/>
        </w:rPr>
        <w:t>;</w:t>
      </w:r>
    </w:p>
    <w:p w:rsidR="003C56D6" w:rsidRDefault="003C56D6" w:rsidP="003C56D6">
      <w:pPr>
        <w:spacing w:line="240" w:lineRule="auto"/>
        <w:ind w:firstLine="1440"/>
        <w:rPr>
          <w:rFonts w:ascii="Arial" w:hAnsi="Arial" w:cs="Arial"/>
          <w:sz w:val="24"/>
          <w:szCs w:val="24"/>
          <w:lang w:val="mn-MN"/>
        </w:rPr>
      </w:pPr>
      <w:r w:rsidRPr="006D2A20">
        <w:rPr>
          <w:rFonts w:ascii="Arial" w:hAnsi="Arial" w:cs="Arial"/>
          <w:sz w:val="24"/>
          <w:szCs w:val="24"/>
          <w:lang w:val="mn-MN"/>
        </w:rPr>
        <w:t>2.1.9. сонгуулийн автоматжуулсан системийг ашиглах журам, зааврыг мөрдөж ажиллах талаар холбогдох албан тушаалтан, ажилтанд шаардлага тавих.</w:t>
      </w:r>
    </w:p>
    <w:p w:rsidR="003C56D6" w:rsidRPr="006D2A20" w:rsidRDefault="003C56D6" w:rsidP="003C56D6">
      <w:pPr>
        <w:spacing w:line="240" w:lineRule="auto"/>
        <w:ind w:firstLine="1440"/>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2.2. Хяналтын хэсгийн дарга </w:t>
      </w:r>
      <w:r>
        <w:rPr>
          <w:rFonts w:ascii="Arial" w:hAnsi="Arial" w:cs="Arial"/>
          <w:sz w:val="24"/>
          <w:szCs w:val="24"/>
          <w:lang w:val="mn-MN"/>
        </w:rPr>
        <w:t>х</w:t>
      </w:r>
      <w:r w:rsidRPr="006D2A20">
        <w:rPr>
          <w:rFonts w:ascii="Arial" w:hAnsi="Arial" w:cs="Arial"/>
          <w:sz w:val="24"/>
          <w:szCs w:val="24"/>
          <w:lang w:val="mn-MN"/>
        </w:rPr>
        <w:t xml:space="preserve">яналтын хэсгийн ажлыг зохион байгуулах бөгөөд ажил үүргийн хуваарийн дагуу нэг гишүүн хуралдааны тэмдэглэлийг хөтөлнө. </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2.3. Сонгуулийн автоматжуулсан системийг ашиглаж байгаа ажилтны хууль бус үйлдэл, эс үйлдэхүй, зөрчлийг илрүүлсэн тохиолдолд Хяналтын хэсэг энэ тухай үндэслэл, нотолгоо бүхий тэмдэглэл үйлдэж, холбогдох этгээдээр гарын үсэг зуруулсны үндсэн дээр зохих шатны сонгуулийн хорооны даргад нэн даруй танилцуулж, зөрчлийг арилгах саналаа тухайн сонгуулийн хорооны хуралдаанд хэлэлцүүлэн шийдвэрлүүлнэ. </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2.4. Хяналт шалгалтын явцад илэрсэн зөрчилд холбогдох этгээд шалгалтын тэмдэглэлд гарын үсэг зурахаас татгалзсан нь Хяналтын хэсэг уг асуудлыг сонгуулийн хорооны хуралдаанд оруулж хэлэлцүүлэхэд саад болохгүй. </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2.5. Хяналтын хэсгийн хяналт шалгалтын дүнг тухайн сонгуулийн хорооны хуралдаанаар хэлэлцэж, илэрсэн зөрчил, дутагдлыг арилгуулах арга хэмжээг шуурхай шийдвэрлэж, сонгуулийн хууль тогтоомжид заасны дагуу гэм буруутай этгээдэд зохих хариуцлага хүлээлгэх арга хэмжээ авна. </w:t>
      </w:r>
    </w:p>
    <w:p w:rsidR="003C56D6" w:rsidRPr="006D2A20" w:rsidRDefault="003C56D6" w:rsidP="003C56D6">
      <w:pPr>
        <w:spacing w:line="240" w:lineRule="auto"/>
        <w:rPr>
          <w:rFonts w:ascii="Arial" w:hAnsi="Arial" w:cs="Arial"/>
          <w:sz w:val="24"/>
          <w:szCs w:val="24"/>
          <w:lang w:val="mn-MN"/>
        </w:rPr>
      </w:pPr>
    </w:p>
    <w:p w:rsidR="003C56D6" w:rsidRDefault="003C56D6" w:rsidP="003C56D6">
      <w:pPr>
        <w:spacing w:line="240" w:lineRule="auto"/>
        <w:rPr>
          <w:rFonts w:ascii="Arial" w:hAnsi="Arial" w:cs="Arial"/>
          <w:sz w:val="24"/>
          <w:szCs w:val="24"/>
          <w:lang w:val="mn-MN"/>
        </w:rPr>
      </w:pPr>
      <w:r w:rsidRPr="006D2A20">
        <w:rPr>
          <w:rFonts w:ascii="Arial" w:hAnsi="Arial" w:cs="Arial"/>
          <w:sz w:val="24"/>
          <w:szCs w:val="24"/>
          <w:lang w:val="mn-MN"/>
        </w:rPr>
        <w:tab/>
        <w:t xml:space="preserve">2.6. Хяналтын хэсгийн хяналт шалгалтын материалыг тухайн сонгуулийн хорооны албан хэрэгт авч хадгална. </w:t>
      </w:r>
    </w:p>
    <w:p w:rsidR="003C56D6" w:rsidRDefault="003C56D6" w:rsidP="003C56D6">
      <w:pPr>
        <w:spacing w:line="240" w:lineRule="auto"/>
        <w:rPr>
          <w:rFonts w:ascii="Arial" w:hAnsi="Arial" w:cs="Arial"/>
          <w:sz w:val="24"/>
          <w:szCs w:val="24"/>
          <w:lang w:val="mn-MN"/>
        </w:rPr>
      </w:pPr>
    </w:p>
    <w:p w:rsidR="003C56D6" w:rsidRDefault="003C56D6" w:rsidP="003C56D6">
      <w:pPr>
        <w:pStyle w:val="ListParagraph"/>
        <w:tabs>
          <w:tab w:val="left" w:pos="0"/>
        </w:tabs>
        <w:spacing w:line="240" w:lineRule="auto"/>
        <w:ind w:left="0" w:firstLine="630"/>
        <w:rPr>
          <w:rFonts w:ascii="Arial" w:hAnsi="Arial" w:cs="Arial"/>
          <w:i/>
          <w:sz w:val="24"/>
          <w:szCs w:val="24"/>
          <w:lang w:val="mn-MN"/>
        </w:rPr>
      </w:pPr>
      <w:r w:rsidRPr="00C900EB">
        <w:rPr>
          <w:rFonts w:ascii="Arial" w:hAnsi="Arial" w:cs="Arial"/>
          <w:i/>
          <w:sz w:val="24"/>
          <w:szCs w:val="24"/>
          <w:lang w:val="mn-MN"/>
        </w:rPr>
        <w:t>/Энэ журамд Сонгуулийн ерөнхий хорооны 2012 оны 10 дугаар сарын 19-ний өдрийн 153, 2013 оны 4 дүгээр сарын 14-ний өдрийн 28 дугаар тогтоолоор орсон нэмэлт, өөрчлөлтүүдийг тусгав./</w:t>
      </w:r>
    </w:p>
    <w:p w:rsidR="003C56D6" w:rsidRPr="00C900EB" w:rsidRDefault="003C56D6" w:rsidP="003C56D6">
      <w:pPr>
        <w:pStyle w:val="ListParagraph"/>
        <w:tabs>
          <w:tab w:val="left" w:pos="0"/>
        </w:tabs>
        <w:spacing w:line="240" w:lineRule="auto"/>
        <w:ind w:left="0" w:firstLine="630"/>
        <w:rPr>
          <w:rFonts w:ascii="Arial" w:hAnsi="Arial" w:cs="Arial"/>
          <w:i/>
          <w:sz w:val="24"/>
          <w:szCs w:val="24"/>
          <w:lang w:val="mn-MN"/>
        </w:rPr>
      </w:pPr>
    </w:p>
    <w:p w:rsidR="003C56D6" w:rsidRDefault="003C56D6" w:rsidP="003C56D6">
      <w:pPr>
        <w:spacing w:line="240" w:lineRule="auto"/>
        <w:rPr>
          <w:rFonts w:ascii="Arial" w:hAnsi="Arial" w:cs="Arial"/>
          <w:sz w:val="24"/>
          <w:szCs w:val="24"/>
          <w:lang w:val="mn-MN"/>
        </w:rPr>
      </w:pPr>
    </w:p>
    <w:p w:rsidR="003C56D6" w:rsidRPr="006D2A20" w:rsidRDefault="003C56D6" w:rsidP="003C56D6">
      <w:pPr>
        <w:spacing w:line="240" w:lineRule="auto"/>
        <w:jc w:val="center"/>
        <w:rPr>
          <w:rFonts w:ascii="Arial" w:hAnsi="Arial" w:cs="Arial"/>
          <w:sz w:val="24"/>
          <w:szCs w:val="24"/>
          <w:lang w:val="mn-MN"/>
        </w:rPr>
      </w:pPr>
      <w:r>
        <w:rPr>
          <w:rFonts w:ascii="Arial" w:hAnsi="Arial" w:cs="Arial"/>
          <w:sz w:val="24"/>
          <w:szCs w:val="24"/>
          <w:lang w:val="mn-MN"/>
        </w:rPr>
        <w:t>---оОо---</w:t>
      </w:r>
    </w:p>
    <w:p w:rsidR="006D2A20" w:rsidRPr="003C56D6" w:rsidRDefault="006D2A20" w:rsidP="003C56D6">
      <w:pPr>
        <w:rPr>
          <w:szCs w:val="24"/>
        </w:rPr>
      </w:pPr>
    </w:p>
    <w:sectPr w:rsidR="006D2A20" w:rsidRPr="003C56D6" w:rsidSect="005E36AF">
      <w:pgSz w:w="11907" w:h="16839" w:code="9"/>
      <w:pgMar w:top="1440" w:right="708" w:bottom="1276"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6683C"/>
    <w:multiLevelType w:val="hybridMultilevel"/>
    <w:tmpl w:val="E676C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DF5824"/>
    <w:rsid w:val="00022BE7"/>
    <w:rsid w:val="00031B8F"/>
    <w:rsid w:val="001170F7"/>
    <w:rsid w:val="00130277"/>
    <w:rsid w:val="001658E5"/>
    <w:rsid w:val="001659DB"/>
    <w:rsid w:val="00180E23"/>
    <w:rsid w:val="001C5BFD"/>
    <w:rsid w:val="0020635F"/>
    <w:rsid w:val="00206AD1"/>
    <w:rsid w:val="00242BFE"/>
    <w:rsid w:val="00272DFC"/>
    <w:rsid w:val="002731FC"/>
    <w:rsid w:val="002A7B2C"/>
    <w:rsid w:val="002B299E"/>
    <w:rsid w:val="003020BE"/>
    <w:rsid w:val="00302882"/>
    <w:rsid w:val="00357D67"/>
    <w:rsid w:val="003736F2"/>
    <w:rsid w:val="00374F88"/>
    <w:rsid w:val="003A0F24"/>
    <w:rsid w:val="003A4765"/>
    <w:rsid w:val="003C56D6"/>
    <w:rsid w:val="00450CA8"/>
    <w:rsid w:val="004A79B1"/>
    <w:rsid w:val="00584255"/>
    <w:rsid w:val="005A572C"/>
    <w:rsid w:val="005B27B5"/>
    <w:rsid w:val="005B3AB2"/>
    <w:rsid w:val="005E36AF"/>
    <w:rsid w:val="0063694D"/>
    <w:rsid w:val="00646E55"/>
    <w:rsid w:val="0066204F"/>
    <w:rsid w:val="006A20B5"/>
    <w:rsid w:val="006B733F"/>
    <w:rsid w:val="006D2A20"/>
    <w:rsid w:val="006E5A2A"/>
    <w:rsid w:val="006E5C11"/>
    <w:rsid w:val="007156A3"/>
    <w:rsid w:val="00817E99"/>
    <w:rsid w:val="00822050"/>
    <w:rsid w:val="00850D4B"/>
    <w:rsid w:val="00860142"/>
    <w:rsid w:val="0087601D"/>
    <w:rsid w:val="008910F7"/>
    <w:rsid w:val="00914E84"/>
    <w:rsid w:val="00924DC1"/>
    <w:rsid w:val="009753DD"/>
    <w:rsid w:val="009822C3"/>
    <w:rsid w:val="00986B70"/>
    <w:rsid w:val="009A5C26"/>
    <w:rsid w:val="00A10200"/>
    <w:rsid w:val="00AA4B97"/>
    <w:rsid w:val="00AC0BB7"/>
    <w:rsid w:val="00B02DF2"/>
    <w:rsid w:val="00B62A90"/>
    <w:rsid w:val="00B77C18"/>
    <w:rsid w:val="00B83705"/>
    <w:rsid w:val="00B87113"/>
    <w:rsid w:val="00C10D43"/>
    <w:rsid w:val="00C308BD"/>
    <w:rsid w:val="00C36914"/>
    <w:rsid w:val="00C3721F"/>
    <w:rsid w:val="00CD787A"/>
    <w:rsid w:val="00CE681B"/>
    <w:rsid w:val="00CF6315"/>
    <w:rsid w:val="00D24623"/>
    <w:rsid w:val="00D8298E"/>
    <w:rsid w:val="00D95046"/>
    <w:rsid w:val="00DE37CB"/>
    <w:rsid w:val="00DF5824"/>
    <w:rsid w:val="00E04D66"/>
    <w:rsid w:val="00E22BC5"/>
    <w:rsid w:val="00E51507"/>
    <w:rsid w:val="00E97E1B"/>
    <w:rsid w:val="00EA76E4"/>
    <w:rsid w:val="00EC0A87"/>
    <w:rsid w:val="00F52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84"/>
    <w:pPr>
      <w:ind w:left="720"/>
      <w:contextualSpacing/>
    </w:pPr>
  </w:style>
  <w:style w:type="paragraph" w:styleId="BalloonText">
    <w:name w:val="Balloon Text"/>
    <w:basedOn w:val="Normal"/>
    <w:link w:val="BalloonTextChar"/>
    <w:uiPriority w:val="99"/>
    <w:semiHidden/>
    <w:unhideWhenUsed/>
    <w:rsid w:val="003C5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6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badrakh</cp:lastModifiedBy>
  <cp:revision>75</cp:revision>
  <cp:lastPrinted>2012-06-10T12:44:00Z</cp:lastPrinted>
  <dcterms:created xsi:type="dcterms:W3CDTF">2012-04-04T02:07:00Z</dcterms:created>
  <dcterms:modified xsi:type="dcterms:W3CDTF">2013-04-25T01:57:00Z</dcterms:modified>
</cp:coreProperties>
</file>